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Definition of Done</w:t>
      </w:r>
    </w:p>
    <w:p>
      <w:pPr>
        <w:jc w:val="center"/>
      </w:pPr>
      <w:r>
        <w:rPr>
          <w:i/>
          <w:sz w:val="28"/>
        </w:rPr>
        <w:t>Azure Local engagement exit checklist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Cluster health</w:t>
      </w:r>
    </w:p>
    <w:p>
      <w:pPr>
        <w:ind w:left="360"/>
      </w:pPr>
      <w:r>
        <w:t>2. Arc enrolment</w:t>
      </w:r>
    </w:p>
    <w:p>
      <w:pPr>
        <w:ind w:left="360"/>
      </w:pPr>
      <w:r>
        <w:t>3. Observability</w:t>
      </w:r>
    </w:p>
    <w:p>
      <w:pPr>
        <w:ind w:left="360"/>
      </w:pPr>
      <w:r>
        <w:t>4. Backup and DR</w:t>
      </w:r>
    </w:p>
    <w:p>
      <w:pPr>
        <w:ind w:left="360"/>
      </w:pPr>
      <w:r>
        <w:t>5. Security</w:t>
      </w:r>
    </w:p>
    <w:p>
      <w:pPr>
        <w:ind w:left="360"/>
      </w:pPr>
      <w:r>
        <w:t>6. Update management</w:t>
      </w:r>
    </w:p>
    <w:p>
      <w:pPr>
        <w:ind w:left="360"/>
      </w:pPr>
      <w:r>
        <w:t>7. Knowledge transfer</w:t>
      </w:r>
    </w:p>
    <w:p>
      <w:pPr>
        <w:ind w:left="360"/>
      </w:pPr>
      <w:r>
        <w:t>8. Audit evidence</w:t>
      </w:r>
    </w:p>
    <w:p>
      <w:pPr>
        <w:ind w:left="360"/>
      </w:pPr>
      <w:r>
        <w:t>9. Innersource</w:t>
      </w:r>
    </w:p>
    <w:p>
      <w:pPr>
        <w:ind w:left="360"/>
      </w:pPr>
      <w:r>
        <w:t>10. Sign-off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Cluster health</w:t>
      </w:r>
    </w:p>
    <w:p>
      <w:r>
        <w:rPr>
          <w:i/>
          <w:color w:val="595959"/>
        </w:rPr>
        <w:t>Every node healthy in Azure portal + WAC; cluster validation clean; S2D resiliency green.</w:t>
      </w:r>
    </w:p>
    <w:p/>
    <w:p>
      <w:pPr>
        <w:pStyle w:val="Heading1"/>
      </w:pPr>
      <w:r>
        <w:rPr>
          <w:color w:val="1F4E79"/>
        </w:rPr>
        <w:t>Arc enrolment</w:t>
      </w:r>
    </w:p>
    <w:p>
      <w:r>
        <w:rPr>
          <w:i/>
          <w:color w:val="595959"/>
        </w:rPr>
        <w:t>Cluster + workloads visible in customer tenant; RBAC + tags applied per policy.</w:t>
      </w:r>
    </w:p>
    <w:p/>
    <w:p>
      <w:pPr>
        <w:pStyle w:val="Heading1"/>
      </w:pPr>
      <w:r>
        <w:rPr>
          <w:color w:val="1F4E79"/>
        </w:rPr>
        <w:t>Observability</w:t>
      </w:r>
    </w:p>
    <w:p>
      <w:r>
        <w:rPr>
          <w:i/>
          <w:color w:val="595959"/>
        </w:rPr>
        <w:t>Azure Monitor + Log Analytics + alert rules + customer dashboards delivered.</w:t>
      </w:r>
    </w:p>
    <w:p/>
    <w:p>
      <w:pPr>
        <w:pStyle w:val="Heading1"/>
      </w:pPr>
      <w:r>
        <w:rPr>
          <w:color w:val="1F4E79"/>
        </w:rPr>
        <w:t>Backup and DR</w:t>
      </w:r>
    </w:p>
    <w:p>
      <w:r>
        <w:rPr>
          <w:i/>
          <w:color w:val="595959"/>
        </w:rPr>
        <w:t>Restore test signed off; ASR drill complete; RPO/RTO documented vs HLD.</w:t>
      </w:r>
    </w:p>
    <w:p/>
    <w:p>
      <w:pPr>
        <w:pStyle w:val="Heading1"/>
      </w:pPr>
      <w:r>
        <w:rPr>
          <w:color w:val="1F4E79"/>
        </w:rPr>
        <w:t>Security</w:t>
      </w:r>
    </w:p>
    <w:p>
      <w:r>
        <w:rPr>
          <w:i/>
          <w:color w:val="595959"/>
        </w:rPr>
        <w:t>Secured-core verified; Defender + BitLocker + WDAC at expected posture.</w:t>
      </w:r>
    </w:p>
    <w:p/>
    <w:p>
      <w:pPr>
        <w:pStyle w:val="Heading1"/>
      </w:pPr>
      <w:r>
        <w:rPr>
          <w:color w:val="1F4E79"/>
        </w:rPr>
        <w:t>Update management</w:t>
      </w:r>
    </w:p>
    <w:p>
      <w:r>
        <w:rPr>
          <w:i/>
          <w:color w:val="595959"/>
        </w:rPr>
        <w:t>Azure Update Manager configured; first cycle joint; second cycle by customer.</w:t>
      </w:r>
    </w:p>
    <w:p/>
    <w:p>
      <w:pPr>
        <w:pStyle w:val="Heading1"/>
      </w:pPr>
      <w:r>
        <w:rPr>
          <w:color w:val="1F4E79"/>
        </w:rPr>
        <w:t>Knowledge transfer</w:t>
      </w:r>
    </w:p>
    <w:p>
      <w:r>
        <w:rPr>
          <w:i/>
          <w:color w:val="595959"/>
        </w:rPr>
        <w:t>Runbook delivered; KT sessions signed; top-10 day-2 ops customer-led.</w:t>
      </w:r>
    </w:p>
    <w:p/>
    <w:p>
      <w:pPr>
        <w:pStyle w:val="Heading1"/>
      </w:pPr>
      <w:r>
        <w:rPr>
          <w:color w:val="1F4E79"/>
        </w:rPr>
        <w:t>Audit evidence</w:t>
      </w:r>
    </w:p>
    <w:p>
      <w:r>
        <w:rPr>
          <w:i/>
          <w:color w:val="595959"/>
        </w:rPr>
        <w:t>Anonymised case study + diagrams + BoM + runbook added to repo evidence pack.</w:t>
      </w:r>
    </w:p>
    <w:p/>
    <w:p>
      <w:pPr>
        <w:pStyle w:val="Heading1"/>
      </w:pPr>
      <w:r>
        <w:rPr>
          <w:color w:val="1F4E79"/>
        </w:rPr>
        <w:t>Innersource</w:t>
      </w:r>
    </w:p>
    <w:p>
      <w:r>
        <w:rPr>
          <w:i/>
          <w:color w:val="595959"/>
        </w:rPr>
        <w:t>Lessons-learned issue raised; template PRs opened where applicable.</w:t>
      </w:r>
    </w:p>
    <w:p/>
    <w:p>
      <w:pPr>
        <w:pStyle w:val="Heading1"/>
      </w:pPr>
      <w:r>
        <w:rPr>
          <w:color w:val="1F4E79"/>
        </w:rPr>
        <w:t>Sign-off</w:t>
      </w:r>
    </w:p>
    <w:p>
      <w:r>
        <w:rPr>
          <w:i/>
          <w:color w:val="595959"/>
        </w:rPr>
        <w:t>Customer ops, customer security, partner delivery, partner practice - all sign and date.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