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color w:val="1F4E79"/>
          <w:sz w:val="56"/>
        </w:rPr>
        <w:t>Customer Qualification Questionnaire</w:t>
      </w:r>
    </w:p>
    <w:p>
      <w:pPr>
        <w:jc w:val="center"/>
      </w:pPr>
      <w:r>
        <w:rPr>
          <w:i/>
          <w:sz w:val="28"/>
        </w:rPr>
        <w:t>Azure Local hybrid-infrastructure engagement</w:t>
      </w:r>
    </w:p>
    <w:p/>
    <w:p>
      <w:pPr>
        <w:jc w:val="center"/>
      </w:pPr>
      <w:r>
        <w:rPr>
          <w:sz w:val="22"/>
        </w:rPr>
        <w:t>Customer: ______________________     Engagement: ______________________     Version: 0.1     Date: __________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ind w:left="360"/>
      </w:pPr>
      <w:r>
        <w:t>1. 1. Strategic fit</w:t>
      </w:r>
    </w:p>
    <w:p>
      <w:pPr>
        <w:ind w:left="360"/>
      </w:pPr>
      <w:r>
        <w:t>2. 2. Workload fit</w:t>
      </w:r>
    </w:p>
    <w:p>
      <w:pPr>
        <w:ind w:left="360"/>
      </w:pPr>
      <w:r>
        <w:t>3. 3. Site topology</w:t>
      </w:r>
    </w:p>
    <w:p>
      <w:pPr>
        <w:ind w:left="360"/>
      </w:pPr>
      <w:r>
        <w:t>4. 4. Existing Azure footprint</w:t>
      </w:r>
    </w:p>
    <w:p>
      <w:pPr>
        <w:ind w:left="360"/>
      </w:pPr>
      <w:r>
        <w:t>5. 5. Identity model</w:t>
      </w:r>
    </w:p>
    <w:p>
      <w:pPr>
        <w:ind w:left="360"/>
      </w:pPr>
      <w:r>
        <w:t>6. 6. Connectivity per site</w:t>
      </w:r>
    </w:p>
    <w:p>
      <w:pPr>
        <w:ind w:left="360"/>
      </w:pPr>
      <w:r>
        <w:t>7. 7. Regulatory drivers</w:t>
      </w:r>
    </w:p>
    <w:p>
      <w:pPr>
        <w:ind w:left="360"/>
      </w:pPr>
      <w:r>
        <w:t>8. 8. Operations readiness</w:t>
      </w:r>
    </w:p>
    <w:p>
      <w:pPr>
        <w:ind w:left="360"/>
      </w:pPr>
      <w:r>
        <w:t>9. 9. Commercial and procurement</w:t>
      </w:r>
    </w:p>
    <w:p>
      <w:pPr>
        <w:ind w:left="360"/>
      </w:pPr>
      <w:r>
        <w:t>10. 10. Go / no-go scoring</w:t>
      </w:r>
    </w:p>
    <w:p>
      <w:r>
        <w:rPr>
          <w:i/>
          <w:color w:val="808080"/>
          <w:sz w:val="18"/>
        </w:rPr>
        <w:t>(Right-click in Word -&gt; Update Field to regenerate live TOC once headings are finalised.)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Strategic fit</w:t>
      </w:r>
    </w:p>
    <w:p>
      <w:r>
        <w:rPr>
          <w:i/>
          <w:color w:val="595959"/>
        </w:rPr>
        <w:t>Capture the business driver, exec sponsor, and 12-month success picture.</w:t>
      </w:r>
    </w:p>
    <w:p/>
    <w:p>
      <w:pPr>
        <w:pStyle w:val="Heading1"/>
      </w:pPr>
      <w:r>
        <w:rPr>
          <w:color w:val="1F4E79"/>
        </w:rPr>
        <w:t>2. Workload fit</w:t>
      </w:r>
    </w:p>
    <w:p>
      <w:r>
        <w:rPr>
          <w:i/>
          <w:color w:val="595959"/>
        </w:rPr>
        <w:t>List in-scope workloads with tiering, RPO/RTO, and any GPU / accelerator requirements.</w:t>
      </w:r>
    </w:p>
    <w:p/>
    <w:p>
      <w:pPr>
        <w:pStyle w:val="Heading1"/>
      </w:pPr>
      <w:r>
        <w:rPr>
          <w:color w:val="1F4E79"/>
        </w:rPr>
        <w:t>3. Site topology</w:t>
      </w:r>
    </w:p>
    <w:p>
      <w:r>
        <w:rPr>
          <w:i/>
          <w:color w:val="595959"/>
        </w:rPr>
        <w:t>Datacentre + edge / branch sites, power, cooling, on-site hands.</w:t>
      </w:r>
    </w:p>
    <w:p/>
    <w:p>
      <w:pPr>
        <w:pStyle w:val="Heading1"/>
      </w:pPr>
      <w:r>
        <w:rPr>
          <w:color w:val="1F4E79"/>
        </w:rPr>
        <w:t>4. Existing Azure footprint</w:t>
      </w:r>
    </w:p>
    <w:p>
      <w:r>
        <w:rPr>
          <w:i/>
          <w:color w:val="595959"/>
        </w:rPr>
        <w:t>Tenant + subscriptions + landing-zone maturity + current Arc usage.</w:t>
      </w:r>
    </w:p>
    <w:p/>
    <w:p>
      <w:pPr>
        <w:pStyle w:val="Heading1"/>
      </w:pPr>
      <w:r>
        <w:rPr>
          <w:color w:val="1F4E79"/>
        </w:rPr>
        <w:t>5. Identity model</w:t>
      </w:r>
    </w:p>
    <w:p>
      <w:r>
        <w:rPr>
          <w:i/>
          <w:color w:val="595959"/>
        </w:rPr>
        <w:t>Entra ID, hybrid join, on-prem AD DS, MFA + conditional access posture.</w:t>
      </w:r>
    </w:p>
    <w:p/>
    <w:p>
      <w:pPr>
        <w:pStyle w:val="Heading1"/>
      </w:pPr>
      <w:r>
        <w:rPr>
          <w:color w:val="1F4E79"/>
        </w:rPr>
        <w:t>6. Connectivity per site</w:t>
      </w:r>
    </w:p>
    <w:p>
      <w:r>
        <w:rPr>
          <w:i/>
          <w:color w:val="595959"/>
        </w:rPr>
        <w:t>Bandwidth, dual-path, ExpressRoute / VPN, proxy posture.</w:t>
      </w:r>
    </w:p>
    <w:p/>
    <w:p>
      <w:pPr>
        <w:pStyle w:val="Heading1"/>
      </w:pPr>
      <w:r>
        <w:rPr>
          <w:color w:val="1F4E79"/>
        </w:rPr>
        <w:t>7. Regulatory drivers</w:t>
      </w:r>
    </w:p>
    <w:p>
      <w:r>
        <w:rPr>
          <w:i/>
          <w:color w:val="595959"/>
        </w:rPr>
        <w:t>GDPR, NIS2, sector-specific frameworks, sovereignty requirements.</w:t>
      </w:r>
    </w:p>
    <w:p/>
    <w:p>
      <w:pPr>
        <w:pStyle w:val="Heading1"/>
      </w:pPr>
      <w:r>
        <w:rPr>
          <w:color w:val="1F4E79"/>
        </w:rPr>
        <w:t>8. Operations readiness</w:t>
      </w:r>
    </w:p>
    <w:p>
      <w:r>
        <w:rPr>
          <w:i/>
          <w:color w:val="595959"/>
        </w:rPr>
        <w:t>Who runs steady state, change-management, monitoring stack, patching cadence.</w:t>
      </w:r>
    </w:p>
    <w:p/>
    <w:p>
      <w:pPr>
        <w:pStyle w:val="Heading1"/>
      </w:pPr>
      <w:r>
        <w:rPr>
          <w:color w:val="1F4E79"/>
        </w:rPr>
        <w:t>9. Commercial and procurement</w:t>
      </w:r>
    </w:p>
    <w:p>
      <w:r>
        <w:rPr>
          <w:i/>
          <w:color w:val="595959"/>
        </w:rPr>
        <w:t>Preferred validated vendor, procurement vehicle, budget approval status.</w:t>
      </w:r>
    </w:p>
    <w:p/>
    <w:p>
      <w:pPr>
        <w:pStyle w:val="Heading1"/>
      </w:pPr>
      <w:r>
        <w:rPr>
          <w:color w:val="1F4E79"/>
        </w:rPr>
        <w:t>10. Go / no-go scoring</w:t>
      </w:r>
    </w:p>
    <w:p>
      <w:r>
        <w:rPr>
          <w:i/>
          <w:color w:val="595959"/>
        </w:rPr>
        <w:t>Score each dimension red / amber / green. Two reds = no-go.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