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91"/>
          <w:sz w:val="28"/>
        </w:rPr>
        <w:t>Microsoft Advanced Specialization</w:t>
      </w:r>
    </w:p>
    <w:p>
      <w:pPr>
        <w:jc w:val="center"/>
      </w:pPr>
      <w:r>
        <w:rPr>
          <w:b/>
          <w:color w:val="0B3D91"/>
          <w:sz w:val="40"/>
        </w:rPr>
        <w:t>Networking Services in Microsoft Azure</w:t>
      </w:r>
    </w:p>
    <w:p>
      <w:pPr>
        <w:jc w:val="center"/>
      </w:pPr>
      <w:r>
        <w:rPr>
          <w:b/>
          <w:sz w:val="56"/>
        </w:rPr>
        <w:t>High-Level Design (HLD)</w:t>
      </w:r>
    </w:p>
    <w:p/>
    <w:p/>
    <w:p/>
    <w:p/>
    <w:p>
      <w:pPr>
        <w:jc w:val="center"/>
      </w:pPr>
      <w:r>
        <w:rPr>
          <w:i/>
          <w:sz w:val="20"/>
        </w:rPr>
        <w:t>Customer: __________________     Version: 0.1     Date: __________________</w:t>
      </w:r>
    </w:p>
    <w:p>
      <w:r>
        <w:br w:type="page"/>
      </w:r>
    </w:p>
    <w:p>
      <w:r>
        <w:rPr>
          <w:b/>
          <w:color w:val="0B3D91"/>
          <w:sz w:val="32"/>
        </w:rPr>
        <w:t>Contents</w:t>
      </w:r>
    </w:p>
    <w:p>
      <w:r>
        <w:rPr>
          <w:sz w:val="22"/>
        </w:rPr>
        <w:t>1.  1. Executive summary</w:t>
      </w:r>
    </w:p>
    <w:p>
      <w:r>
        <w:rPr>
          <w:sz w:val="22"/>
        </w:rPr>
        <w:t>2.  2. Context and constraints</w:t>
      </w:r>
    </w:p>
    <w:p>
      <w:r>
        <w:rPr>
          <w:sz w:val="22"/>
        </w:rPr>
        <w:t>3.  3. Target topology</w:t>
      </w:r>
    </w:p>
    <w:p>
      <w:r>
        <w:rPr>
          <w:sz w:val="22"/>
        </w:rPr>
        <w:t>4.  4. Security zones</w:t>
      </w:r>
    </w:p>
    <w:p>
      <w:r>
        <w:rPr>
          <w:sz w:val="22"/>
        </w:rPr>
        <w:t>5.  5. Ingress / egress patterns</w:t>
      </w:r>
    </w:p>
    <w:p>
      <w:r>
        <w:rPr>
          <w:sz w:val="22"/>
        </w:rPr>
        <w:t>6.  6. DR / resilience posture</w:t>
      </w:r>
    </w:p>
    <w:p>
      <w:r>
        <w:rPr>
          <w:sz w:val="22"/>
        </w:rPr>
        <w:t>7.  7. Observability</w:t>
      </w:r>
    </w:p>
    <w:p>
      <w:r>
        <w:rPr>
          <w:sz w:val="22"/>
        </w:rPr>
        <w:t>8.  8. Operating model</w:t>
      </w:r>
    </w:p>
    <w:p>
      <w:r>
        <w:rPr>
          <w:sz w:val="22"/>
        </w:rPr>
        <w:t>9.  9. Decision log</w:t>
      </w:r>
    </w:p>
    <w:p>
      <w:r>
        <w:rPr>
          <w:sz w:val="22"/>
        </w:rPr>
        <w:t>10.  10. Open questions / risks</w:t>
      </w:r>
    </w:p>
    <w:p>
      <w:r>
        <w:rPr>
          <w:sz w:val="22"/>
        </w:rPr>
        <w:t>11.  11. Appendix — CAF / ALZ alignment matrix</w:t>
      </w:r>
    </w:p>
    <w:p>
      <w:r>
        <w:br w:type="page"/>
      </w:r>
    </w:p>
    <w:p>
      <w:r>
        <w:rPr>
          <w:b/>
          <w:color w:val="0B3D91"/>
          <w:sz w:val="36"/>
        </w:rPr>
        <w:t>1. Executive summary</w:t>
      </w:r>
    </w:p>
    <w:p>
      <w:r>
        <w:rPr>
          <w:i/>
          <w:color w:val="606060"/>
        </w:rPr>
        <w:t>One paragraph. Outcome, scope, timeline, key decisions.</w:t>
      </w:r>
    </w:p>
    <w:p>
      <w:r>
        <w:t>Outcome statement: ____________________________________</w:t>
      </w:r>
    </w:p>
    <w:p>
      <w:r>
        <w:t>Scope: ____________________________________________</w:t>
      </w:r>
    </w:p>
    <w:p>
      <w:r>
        <w:t>Timeline: __________________________________________</w:t>
      </w:r>
    </w:p>
    <w:p>
      <w:r>
        <w:t>Key decisions: ______________________________________</w:t>
      </w:r>
    </w:p>
    <w:p>
      <w:r>
        <w:br w:type="page"/>
      </w:r>
    </w:p>
    <w:p>
      <w:r>
        <w:rPr>
          <w:b/>
          <w:color w:val="0B3D91"/>
          <w:sz w:val="36"/>
        </w:rPr>
        <w:t>2. Context and constraints</w:t>
      </w:r>
    </w:p>
    <w:p>
      <w:pPr>
        <w:pStyle w:val="ListBullet"/>
      </w:pPr>
      <w:r>
        <w:t>Business drivers</w:t>
      </w:r>
    </w:p>
    <w:p>
      <w:pPr>
        <w:pStyle w:val="ListBullet"/>
      </w:pPr>
      <w:r>
        <w:t>Compliance / sovereignty</w:t>
      </w:r>
    </w:p>
    <w:p>
      <w:pPr>
        <w:pStyle w:val="ListBullet"/>
      </w:pPr>
      <w:r>
        <w:t>Existing connectivity baseline</w:t>
      </w:r>
    </w:p>
    <w:p>
      <w:pPr>
        <w:pStyle w:val="ListBullet"/>
      </w:pPr>
      <w:r>
        <w:t>Decision-log reference</w:t>
      </w:r>
    </w:p>
    <w:p>
      <w:r>
        <w:br w:type="page"/>
      </w:r>
    </w:p>
    <w:p>
      <w:r>
        <w:rPr>
          <w:b/>
          <w:color w:val="0B3D91"/>
          <w:sz w:val="36"/>
        </w:rPr>
        <w:t>3. Target topology</w:t>
      </w:r>
    </w:p>
    <w:p>
      <w:r>
        <w:rPr>
          <w:i/>
          <w:color w:val="606060"/>
        </w:rPr>
        <w:t>Cite a named reference architecture.</w:t>
      </w:r>
    </w:p>
    <w:p>
      <w:r>
        <w:t>Reference architecture cited: __________________________</w:t>
      </w:r>
    </w:p>
    <w:p>
      <w:r>
        <w:t>Regions and paired regions: ___________________________</w:t>
      </w:r>
    </w:p>
    <w:p>
      <w:r>
        <w:t>Hub / VWAN hub layout: ______________________________</w:t>
      </w:r>
    </w:p>
    <w:p>
      <w:r>
        <w:t>Address-plan summary (detailed plan in LLD): ___________</w:t>
      </w:r>
    </w:p>
    <w:p>
      <w:r>
        <w:br w:type="page"/>
      </w:r>
    </w:p>
    <w:p>
      <w:r>
        <w:rPr>
          <w:b/>
          <w:color w:val="0B3D91"/>
          <w:sz w:val="36"/>
        </w:rPr>
        <w:t>4. Security zones</w:t>
      </w:r>
    </w:p>
    <w:p>
      <w:pPr>
        <w:pStyle w:val="ListBullet"/>
      </w:pPr>
      <w:r>
        <w:t>Segmentation strategy (NSG / ASG / Firewall policy)</w:t>
      </w:r>
    </w:p>
    <w:p>
      <w:pPr>
        <w:pStyle w:val="ListBullet"/>
      </w:pPr>
      <w:r>
        <w:t>Edge protection (DDoS tier, WAF stack)</w:t>
      </w:r>
    </w:p>
    <w:p>
      <w:pPr>
        <w:pStyle w:val="ListBullet"/>
      </w:pPr>
      <w:r>
        <w:t>Identity / RBAC boundary</w:t>
      </w:r>
    </w:p>
    <w:p>
      <w:r>
        <w:br w:type="page"/>
      </w:r>
    </w:p>
    <w:p>
      <w:r>
        <w:rPr>
          <w:b/>
          <w:color w:val="0B3D91"/>
          <w:sz w:val="36"/>
        </w:rPr>
        <w:t>5. Ingress / egress patterns</w:t>
      </w:r>
    </w:p>
    <w:p>
      <w:pPr>
        <w:pStyle w:val="ListBullet"/>
      </w:pPr>
      <w:r>
        <w:t>Internet ingress: AFD → AppGW → backend</w:t>
      </w:r>
    </w:p>
    <w:p>
      <w:pPr>
        <w:pStyle w:val="ListBullet"/>
      </w:pPr>
      <w:r>
        <w:t>Internet egress: spoke → Firewall → internet</w:t>
      </w:r>
    </w:p>
    <w:p>
      <w:pPr>
        <w:pStyle w:val="ListBullet"/>
      </w:pPr>
      <w:r>
        <w:t>East-west: forced via Firewall</w:t>
      </w:r>
    </w:p>
    <w:p>
      <w:pPr>
        <w:pStyle w:val="ListBullet"/>
      </w:pPr>
      <w:r>
        <w:t>Hybrid: ER primary, VPN backup, Global Reach</w:t>
      </w:r>
    </w:p>
    <w:p>
      <w:r>
        <w:br w:type="page"/>
      </w:r>
    </w:p>
    <w:p>
      <w:r>
        <w:rPr>
          <w:b/>
          <w:color w:val="0B3D91"/>
          <w:sz w:val="36"/>
        </w:rPr>
        <w:t>6. DR / resilience posture</w:t>
      </w:r>
    </w:p>
    <w:p>
      <w:pPr>
        <w:pStyle w:val="ListBullet"/>
      </w:pPr>
      <w:r>
        <w:t>RTO / RPO targets</w:t>
      </w:r>
    </w:p>
    <w:p>
      <w:pPr>
        <w:pStyle w:val="ListBullet"/>
      </w:pPr>
      <w:r>
        <w:t>Failover mechanism per workload class</w:t>
      </w:r>
    </w:p>
    <w:p>
      <w:pPr>
        <w:pStyle w:val="ListBullet"/>
      </w:pPr>
      <w:r>
        <w:t>BGP convergence expectations</w:t>
      </w:r>
    </w:p>
    <w:p>
      <w:pPr>
        <w:pStyle w:val="ListBullet"/>
      </w:pPr>
      <w:r>
        <w:t>SLA stacking</w:t>
      </w:r>
    </w:p>
    <w:p>
      <w:r>
        <w:br w:type="page"/>
      </w:r>
    </w:p>
    <w:p>
      <w:r>
        <w:rPr>
          <w:b/>
          <w:color w:val="0B3D91"/>
          <w:sz w:val="36"/>
        </w:rPr>
        <w:t>7. Observability</w:t>
      </w:r>
    </w:p>
    <w:p>
      <w:pPr>
        <w:pStyle w:val="ListBullet"/>
      </w:pPr>
      <w:r>
        <w:t>NSG Flow Logs + Traffic Analytics</w:t>
      </w:r>
    </w:p>
    <w:p>
      <w:pPr>
        <w:pStyle w:val="ListBullet"/>
      </w:pPr>
      <w:r>
        <w:t>Connection Monitor</w:t>
      </w:r>
    </w:p>
    <w:p>
      <w:pPr>
        <w:pStyle w:val="ListBullet"/>
      </w:pPr>
      <w:r>
        <w:t>Network Insights</w:t>
      </w:r>
    </w:p>
    <w:p>
      <w:pPr>
        <w:pStyle w:val="ListBullet"/>
      </w:pPr>
      <w:r>
        <w:t>SIEM integration</w:t>
      </w:r>
    </w:p>
    <w:p>
      <w:r>
        <w:br w:type="page"/>
      </w:r>
    </w:p>
    <w:p>
      <w:r>
        <w:rPr>
          <w:b/>
          <w:color w:val="0B3D91"/>
          <w:sz w:val="36"/>
        </w:rPr>
        <w:t>8. Operating model</w:t>
      </w:r>
    </w:p>
    <w:p>
      <w:pPr>
        <w:pStyle w:val="ListBullet"/>
      </w:pPr>
      <w:r>
        <w:t>Who owns what (RACI)</w:t>
      </w:r>
    </w:p>
    <w:p>
      <w:pPr>
        <w:pStyle w:val="ListBullet"/>
      </w:pPr>
      <w:r>
        <w:t>Change-control windows</w:t>
      </w:r>
    </w:p>
    <w:p>
      <w:pPr>
        <w:pStyle w:val="ListBullet"/>
      </w:pPr>
      <w:r>
        <w:t>Day-2 runbook reference</w:t>
      </w:r>
    </w:p>
    <w:p>
      <w:r>
        <w:br w:type="page"/>
      </w:r>
    </w:p>
    <w:p>
      <w:r>
        <w:rPr>
          <w:b/>
          <w:color w:val="0B3D91"/>
          <w:sz w:val="36"/>
        </w:rPr>
        <w:t>9. Decision log</w:t>
      </w:r>
    </w:p>
    <w:p>
      <w:r>
        <w:rPr>
          <w:i/>
          <w:color w:val="606060"/>
        </w:rPr>
        <w:t>Copy from the discovery workshop decision log; keep updated.</w:t>
      </w:r>
    </w:p>
    <w:p>
      <w:r>
        <w:br w:type="page"/>
      </w:r>
    </w:p>
    <w:p>
      <w:r>
        <w:rPr>
          <w:b/>
          <w:color w:val="0B3D91"/>
          <w:sz w:val="36"/>
        </w:rPr>
        <w:t>10. Open questions / risks</w:t>
      </w:r>
    </w:p>
    <w:p>
      <w:r>
        <w:br w:type="page"/>
      </w:r>
    </w:p>
    <w:p>
      <w:r>
        <w:rPr>
          <w:b/>
          <w:color w:val="0B3D91"/>
          <w:sz w:val="36"/>
        </w:rPr>
        <w:t>11. Appendix — CAF / ALZ alignment matrix</w:t>
      </w:r>
    </w:p>
    <w:p>
      <w:r>
        <w:rPr>
          <w:i/>
          <w:color w:val="606060"/>
        </w:rPr>
        <w:t>How each ALZ design area is addressed or deviation rationale.</w:t>
      </w:r>
    </w:p>
    <w:p>
      <w:r>
        <w:br w:type="page"/>
      </w:r>
    </w:p>
    <w:p>
      <w:r>
        <w:rPr>
          <w:b/>
          <w:color w:val="0B3D91"/>
          <w:sz w:val="36"/>
        </w:rPr>
        <w:t>9. Decision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  <w:t>#</w:t>
            </w:r>
          </w:p>
        </w:tc>
        <w:tc>
          <w:tcPr>
            <w:tcW w:type="dxa" w:w="1608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608"/>
          </w:tcPr>
          <w:p>
            <w:r>
              <w:rPr>
                <w:b/>
              </w:rPr>
              <w:t>Options</w:t>
            </w:r>
          </w:p>
        </w:tc>
        <w:tc>
          <w:tcPr>
            <w:tcW w:type="dxa" w:w="1608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60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608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</w:tbl>
    <w:p>
      <w:r>
        <w:br w:type="page"/>
      </w:r>
    </w:p>
    <w:p>
      <w:r>
        <w:rPr>
          <w:b/>
          <w:color w:val="0B3D91"/>
          <w:sz w:val="36"/>
        </w:rPr>
        <w:t>10. Open questions /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</w:rPr>
              <w:t>Question / risk</w:t>
            </w:r>
          </w:p>
        </w:tc>
        <w:tc>
          <w:tcPr>
            <w:tcW w:type="dxa" w:w="2412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412"/>
          </w:tcPr>
          <w:p>
            <w:r>
              <w:rPr>
                <w:b/>
              </w:rPr>
              <w:t>Resolution date</w:t>
            </w:r>
          </w:p>
        </w:tc>
      </w:tr>
      <w:tr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Advanced Specialization — Networking Services in Microsoft Azure — High-Level Design (HLD)</dc:title>
  <dc:subject/>
  <dc:creator>Microsoft Partner Innersource Template</dc:creator>
  <cp:keywords/>
  <dc:description>generated by python-docx</dc:description>
  <cp:lastModifiedBy>Microsoft Partner Innersource Template</cp:lastModifiedBy>
  <cp:revision>1</cp:revision>
  <dcterms:created xsi:type="dcterms:W3CDTF">2013-12-23T23:15:00Z</dcterms:created>
  <dcterms:modified xsi:type="dcterms:W3CDTF">2013-12-23T23:15:00Z</dcterms:modified>
  <cp:category/>
</cp:coreProperties>
</file>