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D91"/>
          <w:sz w:val="28"/>
        </w:rPr>
        <w:t>Microsoft Advanced Specialization</w:t>
      </w:r>
    </w:p>
    <w:p>
      <w:pPr>
        <w:jc w:val="center"/>
      </w:pPr>
      <w:r>
        <w:rPr>
          <w:b/>
          <w:color w:val="0B3D91"/>
          <w:sz w:val="40"/>
        </w:rPr>
        <w:t>Networking Services in Microsoft Azure</w:t>
      </w:r>
    </w:p>
    <w:p>
      <w:pPr>
        <w:jc w:val="center"/>
      </w:pPr>
      <w:r>
        <w:rPr>
          <w:b/>
          <w:sz w:val="56"/>
        </w:rPr>
        <w:t>Hypercare Plan</w:t>
      </w:r>
    </w:p>
    <w:p/>
    <w:p/>
    <w:p/>
    <w:p/>
    <w:p>
      <w:pPr>
        <w:jc w:val="center"/>
      </w:pPr>
      <w:r>
        <w:rPr>
          <w:i/>
          <w:sz w:val="20"/>
        </w:rPr>
        <w:t>Customer: __________________     Version: 0.1     Date: __________________</w:t>
      </w:r>
    </w:p>
    <w:p>
      <w:r>
        <w:br w:type="page"/>
      </w:r>
    </w:p>
    <w:p>
      <w:r>
        <w:rPr>
          <w:b/>
          <w:color w:val="0B3D91"/>
          <w:sz w:val="32"/>
        </w:rPr>
        <w:t>Contents</w:t>
      </w:r>
    </w:p>
    <w:p>
      <w:r>
        <w:rPr>
          <w:sz w:val="22"/>
        </w:rPr>
        <w:t>1.  1. Hypercare window</w:t>
      </w:r>
    </w:p>
    <w:p>
      <w:r>
        <w:rPr>
          <w:sz w:val="22"/>
        </w:rPr>
        <w:t>2.  2. On-call rota</w:t>
      </w:r>
    </w:p>
    <w:p>
      <w:r>
        <w:rPr>
          <w:sz w:val="22"/>
        </w:rPr>
        <w:t>3.  3. Severity definitions</w:t>
      </w:r>
    </w:p>
    <w:p>
      <w:r>
        <w:rPr>
          <w:sz w:val="22"/>
        </w:rPr>
        <w:t>4.  4. Defect classification</w:t>
      </w:r>
    </w:p>
    <w:p>
      <w:r>
        <w:rPr>
          <w:sz w:val="22"/>
        </w:rPr>
        <w:t>5.  5. Daily / weekly cadence</w:t>
      </w:r>
    </w:p>
    <w:p>
      <w:r>
        <w:rPr>
          <w:sz w:val="22"/>
        </w:rPr>
        <w:t>6.  6. Exit criteria</w:t>
      </w:r>
    </w:p>
    <w:p>
      <w:r>
        <w:rPr>
          <w:sz w:val="22"/>
        </w:rPr>
        <w:t>7.  7. Handover sign-off</w:t>
      </w:r>
    </w:p>
    <w:p>
      <w:r>
        <w:rPr>
          <w:sz w:val="22"/>
        </w:rPr>
        <w:t>8.  8. Post-hypercare</w:t>
      </w:r>
    </w:p>
    <w:p>
      <w:r>
        <w:br w:type="page"/>
      </w:r>
    </w:p>
    <w:p>
      <w:r>
        <w:rPr>
          <w:b/>
          <w:color w:val="0B3D91"/>
          <w:sz w:val="36"/>
        </w:rPr>
        <w:t>1. Hypercare window</w:t>
      </w:r>
    </w:p>
    <w:p>
      <w:r>
        <w:rPr>
          <w:i/>
          <w:color w:val="606060"/>
        </w:rPr>
        <w:t>Standard 30 days; extendable in 14-day increments.</w:t>
      </w:r>
    </w:p>
    <w:p>
      <w:r>
        <w:br w:type="page"/>
      </w:r>
    </w:p>
    <w:p>
      <w:r>
        <w:rPr>
          <w:b/>
          <w:color w:val="0B3D91"/>
          <w:sz w:val="36"/>
        </w:rPr>
        <w:t>2. On-call rota</w:t>
      </w:r>
    </w:p>
    <w:p>
      <w:r>
        <w:rPr>
          <w:i/>
          <w:color w:val="606060"/>
        </w:rPr>
        <w:t>Weeks 1-4; business hours default; SEV-1 24/7.</w:t>
      </w:r>
    </w:p>
    <w:p>
      <w:r>
        <w:br w:type="page"/>
      </w:r>
    </w:p>
    <w:p>
      <w:r>
        <w:rPr>
          <w:b/>
          <w:color w:val="0B3D91"/>
          <w:sz w:val="36"/>
        </w:rPr>
        <w:t>3. Severity definitions</w:t>
      </w:r>
    </w:p>
    <w:p>
      <w:r>
        <w:rPr>
          <w:i/>
          <w:color w:val="606060"/>
        </w:rPr>
        <w:t>SEV-1 through SEV-4 with response + restoration targets.</w:t>
      </w:r>
    </w:p>
    <w:p>
      <w:r>
        <w:br w:type="page"/>
      </w:r>
    </w:p>
    <w:p>
      <w:r>
        <w:rPr>
          <w:b/>
          <w:color w:val="0B3D91"/>
          <w:sz w:val="36"/>
        </w:rPr>
        <w:t>4. Defect classification</w:t>
      </w:r>
    </w:p>
    <w:p>
      <w:r>
        <w:rPr>
          <w:i/>
          <w:color w:val="606060"/>
        </w:rPr>
        <w:t>Class A (design), B (config drift), C (customer-induced), D (enhancement).</w:t>
      </w:r>
    </w:p>
    <w:p>
      <w:r>
        <w:br w:type="page"/>
      </w:r>
    </w:p>
    <w:p>
      <w:r>
        <w:rPr>
          <w:b/>
          <w:color w:val="0B3D91"/>
          <w:sz w:val="36"/>
        </w:rPr>
        <w:t>5. Daily / weekly cadence</w:t>
      </w:r>
    </w:p>
    <w:p>
      <w:r>
        <w:rPr>
          <w:i/>
          <w:color w:val="606060"/>
        </w:rPr>
        <w:t>Daily standup 15 min; weekly steering 30 min.</w:t>
      </w:r>
    </w:p>
    <w:p>
      <w:r>
        <w:br w:type="page"/>
      </w:r>
    </w:p>
    <w:p>
      <w:r>
        <w:rPr>
          <w:b/>
          <w:color w:val="0B3D91"/>
          <w:sz w:val="36"/>
        </w:rPr>
        <w:t>6. Exit criteria</w:t>
      </w:r>
    </w:p>
    <w:p>
      <w:r>
        <w:rPr>
          <w:i/>
          <w:color w:val="606060"/>
        </w:rPr>
        <w:t>Zero SEV-1/2 in last 7 days; all Class-A resolved; runbook validated; KT signed off.</w:t>
      </w:r>
    </w:p>
    <w:p>
      <w:r>
        <w:t>☐  Zero open SEV-1 in last 7 days</w:t>
      </w:r>
    </w:p>
    <w:p>
      <w:r>
        <w:t>☐  Zero open SEV-2 in last 7 days</w:t>
      </w:r>
    </w:p>
    <w:p>
      <w:r>
        <w:t>☐  All Class-A defects resolved</w:t>
      </w:r>
    </w:p>
    <w:p>
      <w:r>
        <w:t>☐  Runbook validated by customer team ≥ 2 times</w:t>
      </w:r>
    </w:p>
    <w:p>
      <w:r>
        <w:t>☐  KT sign-off complete</w:t>
      </w:r>
    </w:p>
    <w:p>
      <w:r>
        <w:t>☐  Customer signs hypercare-end acceptance</w:t>
      </w:r>
    </w:p>
    <w:p>
      <w:r>
        <w:br w:type="page"/>
      </w:r>
    </w:p>
    <w:p>
      <w:r>
        <w:rPr>
          <w:b/>
          <w:color w:val="0B3D91"/>
          <w:sz w:val="36"/>
        </w:rPr>
        <w:t>7. Handover sign-off</w:t>
      </w:r>
    </w:p>
    <w:p>
      <w:r>
        <w:rPr>
          <w:i/>
          <w:color w:val="606060"/>
        </w:rPr>
        <w:t>Customer sponsor, customer ops lead, delivery lead.</w:t>
      </w:r>
    </w:p>
    <w:p>
      <w:r>
        <w:br w:type="page"/>
      </w:r>
    </w:p>
    <w:p>
      <w:r>
        <w:rPr>
          <w:b/>
          <w:color w:val="0B3D91"/>
          <w:sz w:val="36"/>
        </w:rPr>
        <w:t>8. Post-hypercare</w:t>
      </w:r>
    </w:p>
    <w:p>
      <w:r>
        <w:rPr>
          <w:i/>
          <w:color w:val="606060"/>
        </w:rPr>
        <w:t>Class A/B defects carry into warranty; enhancements to next engagement backlog.</w:t>
      </w:r>
    </w:p>
    <w:p>
      <w:r>
        <w:br w:type="page"/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Advanced Specialization — Networking Services in Microsoft Azure — Hypercare Plan</dc:title>
  <dc:subject/>
  <dc:creator>Microsoft Partner Innersource Template</dc:creator>
  <cp:keywords/>
  <dc:description>generated by python-docx</dc:description>
  <cp:lastModifiedBy>Microsoft Partner Innersource Template</cp:lastModifiedBy>
  <cp:revision>1</cp:revision>
  <dcterms:created xsi:type="dcterms:W3CDTF">2013-12-23T23:15:00Z</dcterms:created>
  <dcterms:modified xsi:type="dcterms:W3CDTF">2013-12-23T23:15:00Z</dcterms:modified>
  <cp:category/>
</cp:coreProperties>
</file>