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8"/>
        </w:rPr>
        <w:t>Microsoft Advanced Specialization — SAP on Microsoft Azure</w:t>
      </w:r>
    </w:p>
    <w:p>
      <w:pPr>
        <w:jc w:val="center"/>
      </w:pPr>
      <w:r>
        <w:rPr>
          <w:b/>
          <w:color w:val="103A6F"/>
          <w:sz w:val="56"/>
        </w:rPr>
        <w:t>SAP on Microsoft Azure</w:t>
      </w:r>
    </w:p>
    <w:p>
      <w:pPr>
        <w:jc w:val="center"/>
      </w:pPr>
      <w:r>
        <w:rPr>
          <w:i/>
          <w:color w:val="0A70C0"/>
          <w:sz w:val="32"/>
        </w:rPr>
        <w:t>Hypercare Plan</w:t>
      </w:r>
    </w:p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here in Microsoft Word and choose Update Field to populate the table of contents from the headings below.</w:t>
      </w:r>
    </w:p>
    <w:p/>
    <w:p>
      <w:r>
        <w:br w:type="page"/>
      </w:r>
    </w:p>
    <w:p>
      <w:pPr>
        <w:pStyle w:val="Heading1"/>
      </w:pPr>
      <w:r>
        <w:t>1. Cutover-week Staffing</w:t>
      </w:r>
    </w:p>
    <w:p>
      <w:r>
        <w:rPr>
          <w:i/>
          <w:color w:val="555555"/>
        </w:rPr>
        <w:t>24×7 coverage, named individuals, escalation chain, communication cadence.</w:t>
      </w:r>
    </w:p>
    <w:p/>
    <w:p>
      <w:pPr>
        <w:pStyle w:val="Heading1"/>
      </w:pPr>
      <w:r>
        <w:t>2. Defect Triage</w:t>
      </w:r>
    </w:p>
    <w:p>
      <w:r>
        <w:rPr>
          <w:i/>
          <w:color w:val="555555"/>
        </w:rPr>
        <w:t>Severity matrix, SLAs (P1 acknowledge / resolve), war-room cadence.</w:t>
      </w:r>
    </w:p>
    <w:p/>
    <w:p>
      <w:pPr>
        <w:pStyle w:val="Heading1"/>
      </w:pPr>
      <w:r>
        <w:t>3. Performance Baselining</w:t>
      </w:r>
    </w:p>
    <w:p>
      <w:r>
        <w:rPr>
          <w:i/>
          <w:color w:val="555555"/>
        </w:rPr>
        <w:t>Capture EWA + Azure Monitor for SAP metrics weekly; trend against pre-go-live baseline.</w:t>
      </w:r>
    </w:p>
    <w:p/>
    <w:p>
      <w:pPr>
        <w:pStyle w:val="Heading1"/>
      </w:pPr>
      <w:r>
        <w:t>4. Operations Transition</w:t>
      </w:r>
    </w:p>
    <w:p>
      <w:r>
        <w:rPr>
          <w:i/>
          <w:color w:val="555555"/>
        </w:rPr>
        <w:t>Runbook walk-throughs with customer on-call, joint shadowing.</w:t>
      </w:r>
    </w:p>
    <w:p/>
    <w:p>
      <w:pPr>
        <w:pStyle w:val="Heading1"/>
      </w:pPr>
      <w:r>
        <w:t>5. Exit Criteria</w:t>
      </w:r>
    </w:p>
    <w:p>
      <w:r>
        <w:rPr>
          <w:i/>
          <w:color w:val="555555"/>
        </w:rPr>
        <w:t>X consecutive clean EarlyWatch Alerts; zero open P1; DR drill complete; KT signed off; customer's run team operating independently for at least 1 week.</w:t>
      </w:r>
    </w:p>
    <w:p/>
    <w:p>
      <w:pPr>
        <w:pStyle w:val="Heading1"/>
      </w:pPr>
      <w:r>
        <w:t>6. Sign-off</w:t>
      </w:r>
    </w:p>
    <w:p>
      <w:r>
        <w:rPr>
          <w:i/>
          <w:color w:val="555555"/>
        </w:rPr>
        <w:t>See the Definition of Done workfile.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SAP on Microsoft Azure — Hypercare Plan</dc:title>
  <dc:subject>SAP on Microsoft Azure</dc:subject>
  <dc:creator>Microsoft Partner Innersource Template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