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55555"/>
          <w:sz w:val="28"/>
        </w:rPr>
        <w:t>Microsoft Advanced Specialization — SAP on Microsoft Azure</w:t>
      </w:r>
    </w:p>
    <w:p>
      <w:pPr>
        <w:jc w:val="center"/>
      </w:pPr>
      <w:r>
        <w:rPr>
          <w:b/>
          <w:color w:val="103A6F"/>
          <w:sz w:val="56"/>
        </w:rPr>
        <w:t>SAP on Microsoft Azure</w:t>
      </w:r>
    </w:p>
    <w:p>
      <w:pPr>
        <w:jc w:val="center"/>
      </w:pPr>
      <w:r>
        <w:rPr>
          <w:i/>
          <w:color w:val="0A70C0"/>
          <w:sz w:val="32"/>
        </w:rPr>
        <w:t>Customer Qualification Questionnaire</w:t>
      </w:r>
    </w:p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Engagement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</w:rPr>
        <w:t>Right-click here in Microsoft Word and choose Update Field to populate the table of contents from the headings below.</w:t>
      </w:r>
    </w:p>
    <w:p/>
    <w:p>
      <w:r>
        <w:br w:type="page"/>
      </w:r>
    </w:p>
    <w:p>
      <w:pPr>
        <w:pStyle w:val="Heading1"/>
      </w:pPr>
      <w:r>
        <w:t>1. SAP Estate Inventory</w:t>
      </w:r>
    </w:p>
    <w:p>
      <w:r>
        <w:rPr>
          <w:i/>
          <w:color w:val="555555"/>
        </w:rPr>
        <w:t>For each SAP system in scope, capture product, version, database, integrations, and customisations.</w:t>
      </w:r>
    </w:p>
    <w:p/>
    <w:p>
      <w:pPr>
        <w:pStyle w:val="Heading2"/>
      </w:pPr>
      <w:r>
        <w:t>1.1 System list</w:t>
      </w:r>
    </w:p>
    <w:p>
      <w:r>
        <w:rPr>
          <w:i/>
          <w:color w:val="555555"/>
        </w:rPr>
        <w:t>Use one row per system. Add rows as needed. List ECC, S/4HANA, BW/4HANA, SCM, GRC, PI/PO, SolMan, etc.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System ID</w:t>
            </w:r>
          </w:p>
        </w:tc>
        <w:tc>
          <w:tcPr>
            <w:tcW w:type="dxa" w:w="1440"/>
          </w:tcPr>
          <w:p>
            <w:r>
              <w:t>Product</w:t>
            </w:r>
          </w:p>
        </w:tc>
        <w:tc>
          <w:tcPr>
            <w:tcW w:type="dxa" w:w="1440"/>
          </w:tcPr>
          <w:p>
            <w:r>
              <w:t>Version / SPS</w:t>
            </w:r>
          </w:p>
        </w:tc>
        <w:tc>
          <w:tcPr>
            <w:tcW w:type="dxa" w:w="1440"/>
          </w:tcPr>
          <w:p>
            <w:r>
              <w:t>Database + version</w:t>
            </w:r>
          </w:p>
        </w:tc>
        <w:tc>
          <w:tcPr>
            <w:tcW w:type="dxa" w:w="1440"/>
          </w:tcPr>
          <w:p>
            <w:r>
              <w:t>Unicode?</w:t>
            </w:r>
          </w:p>
        </w:tc>
        <w:tc>
          <w:tcPr>
            <w:tcW w:type="dxa" w:w="1440"/>
          </w:tcPr>
          <w:p>
            <w:r>
              <w:t>Languages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2"/>
      </w:pPr>
      <w:r>
        <w:t>1.2 Customisations and integrations</w:t>
      </w:r>
    </w:p>
    <w:p>
      <w:r>
        <w:rPr>
          <w:i/>
          <w:color w:val="555555"/>
        </w:rPr>
        <w:t>Capture Z-code volume, custom enhancements, PI/PO, CPI, EDI, third-party gateways, printing, IDOC volume.</w:t>
      </w:r>
    </w:p>
    <w:p/>
    <w:p>
      <w:pPr>
        <w:pStyle w:val="Heading1"/>
      </w:pPr>
      <w:r>
        <w:t>2. HANA Sizing Inputs</w:t>
      </w:r>
    </w:p>
    <w:p>
      <w:r>
        <w:rPr>
          <w:i/>
          <w:color w:val="555555"/>
        </w:rPr>
        <w:t>Capture inputs for HANA-certified VM SKU and ANF volume sizing.</w:t>
      </w:r>
    </w:p>
    <w:p>
      <w:pPr>
        <w:pStyle w:val="ListBullet"/>
      </w:pPr>
      <w:r>
        <w:t>Existing memory footprint (GB)</w:t>
      </w:r>
    </w:p>
    <w:p>
      <w:pPr>
        <w:pStyle w:val="ListBullet"/>
      </w:pPr>
      <w:r>
        <w:t>Growth percentage per year</w:t>
      </w:r>
    </w:p>
    <w:p>
      <w:pPr>
        <w:pStyle w:val="ListBullet"/>
      </w:pPr>
      <w:r>
        <w:t>Peak concurrent online users</w:t>
      </w:r>
    </w:p>
    <w:p>
      <w:pPr>
        <w:pStyle w:val="ListBullet"/>
      </w:pPr>
      <w:r>
        <w:t>Batch window (hours and timing)</w:t>
      </w:r>
    </w:p>
    <w:p>
      <w:pPr>
        <w:pStyle w:val="ListBullet"/>
      </w:pPr>
      <w:r>
        <w:t>IOPS profile (data, log, backup)</w:t>
      </w:r>
    </w:p>
    <w:p>
      <w:pPr>
        <w:pStyle w:val="ListBullet"/>
      </w:pPr>
      <w:r>
        <w:t>HSR replication topology (sync / async, multi-tier, multi-target)</w:t>
      </w:r>
    </w:p>
    <w:p>
      <w:pPr>
        <w:pStyle w:val="ListBullet"/>
      </w:pPr>
      <w:r>
        <w:t>Existing EarlyWatch Alert attached? (Yes / No)</w:t>
      </w:r>
    </w:p>
    <w:p/>
    <w:p>
      <w:pPr>
        <w:pStyle w:val="Heading1"/>
      </w:pPr>
      <w:r>
        <w:t>3. Delivery Model</w:t>
      </w:r>
    </w:p>
    <w:p>
      <w:r>
        <w:rPr>
          <w:i/>
          <w:color w:val="555555"/>
        </w:rPr>
        <w:t>Choose: self-managed SAP on Azure, RISE with SAP on Azure, or hybrid mix. The answer changes which controls and templates apply.</w:t>
      </w:r>
    </w:p>
    <w:p/>
    <w:p>
      <w:pPr>
        <w:pStyle w:val="Heading1"/>
      </w:pPr>
      <w:r>
        <w:t>4. Non-Functional Requirements</w:t>
      </w:r>
    </w:p>
    <w:p>
      <w:r>
        <w:rPr>
          <w:i/>
          <w:color w:val="555555"/>
        </w:rPr>
        <w:t>Capture RTO/RPO per tier, maintenance windows, regulatory constraints.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Tier</w:t>
            </w:r>
          </w:p>
        </w:tc>
        <w:tc>
          <w:tcPr>
            <w:tcW w:type="dxa" w:w="1728"/>
          </w:tcPr>
          <w:p>
            <w:r>
              <w:t>RTO</w:t>
            </w:r>
          </w:p>
        </w:tc>
        <w:tc>
          <w:tcPr>
            <w:tcW w:type="dxa" w:w="1728"/>
          </w:tcPr>
          <w:p>
            <w:r>
              <w:t>RPO</w:t>
            </w:r>
          </w:p>
        </w:tc>
        <w:tc>
          <w:tcPr>
            <w:tcW w:type="dxa" w:w="1728"/>
          </w:tcPr>
          <w:p>
            <w:r>
              <w:t>Maintenance window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Production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QA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Dev / sandbox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2"/>
      </w:pPr>
      <w:r>
        <w:t>4.1 Regulatory constraints</w:t>
      </w:r>
    </w:p>
    <w:p>
      <w:r>
        <w:rPr>
          <w:i/>
          <w:color w:val="555555"/>
        </w:rPr>
        <w:t>GxP, GDPR, sovereignty, sector-specific (financial, healthcare, public sector). List each and the affected system.</w:t>
      </w:r>
    </w:p>
    <w:p/>
    <w:p>
      <w:pPr>
        <w:pStyle w:val="Heading1"/>
      </w:pPr>
      <w:r>
        <w:t>5. Identity &amp; Access</w:t>
      </w:r>
    </w:p>
    <w:p>
      <w:r>
        <w:rPr>
          <w:i/>
          <w:color w:val="555555"/>
        </w:rPr>
        <w:t>Capture IdP, Fiori SSO target, Basis admin population, PIM eligibility.</w:t>
      </w:r>
    </w:p>
    <w:p>
      <w:pPr>
        <w:pStyle w:val="ListBullet"/>
      </w:pPr>
      <w:r>
        <w:t>Existing IdP (Entra ID, AD FS, third-party)</w:t>
      </w:r>
    </w:p>
    <w:p>
      <w:pPr>
        <w:pStyle w:val="ListBullet"/>
      </w:pPr>
      <w:r>
        <w:t>Target Fiori SSO mechanism (SAML, OIDC, PrincipalPropagation)</w:t>
      </w:r>
    </w:p>
    <w:p>
      <w:pPr>
        <w:pStyle w:val="ListBullet"/>
      </w:pPr>
      <w:r>
        <w:t>Basis admin population (count, location, time zones)</w:t>
      </w:r>
    </w:p>
    <w:p>
      <w:pPr>
        <w:pStyle w:val="ListBullet"/>
      </w:pPr>
      <w:r>
        <w:t>PIM eligibility — which roles?</w:t>
      </w:r>
    </w:p>
    <w:p/>
    <w:p>
      <w:pPr>
        <w:pStyle w:val="Heading1"/>
      </w:pPr>
      <w:r>
        <w:t>6. Network &amp; Connectivity</w:t>
      </w:r>
    </w:p>
    <w:p>
      <w:r>
        <w:rPr>
          <w:i/>
          <w:color w:val="555555"/>
        </w:rPr>
        <w:t>Capture existing connectivity, target ExpressRoute SKU, cross-region DR connectivity, firewall ownership.</w:t>
      </w:r>
    </w:p>
    <w:p>
      <w:pPr>
        <w:pStyle w:val="ListBullet"/>
      </w:pPr>
      <w:r>
        <w:t>Existing on-prem connectivity (ExpressRoute / VPN / none)</w:t>
      </w:r>
    </w:p>
    <w:p>
      <w:pPr>
        <w:pStyle w:val="ListBullet"/>
      </w:pPr>
      <w:r>
        <w:t>Target ExpressRoute SKU and circuit count</w:t>
      </w:r>
    </w:p>
    <w:p>
      <w:pPr>
        <w:pStyle w:val="ListBullet"/>
      </w:pPr>
      <w:r>
        <w:t>Cross-region DR connectivity (ExpressRoute Global Reach?)</w:t>
      </w:r>
    </w:p>
    <w:p>
      <w:pPr>
        <w:pStyle w:val="ListBullet"/>
      </w:pPr>
      <w:r>
        <w:t>Firewall ownership (customer central / partner-managed / NVA)</w:t>
      </w:r>
    </w:p>
    <w:p/>
    <w:p>
      <w:pPr>
        <w:pStyle w:val="Heading1"/>
      </w:pPr>
      <w:r>
        <w:t>7. Open Questions</w:t>
      </w:r>
    </w:p>
    <w:p>
      <w:r>
        <w:rPr>
          <w:i/>
          <w:color w:val="555555"/>
        </w:rPr>
        <w:t>Capture any open questions to follow up before the discovery workshop.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Advanced Specialization — SAP on Microsoft Azure — Customer Qualification Questionnaire</dc:title>
  <dc:subject>SAP on Microsoft Azure</dc:subject>
  <dc:creator>Microsoft Partner Innersource Template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