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55555"/>
          <w:sz w:val="28"/>
        </w:rPr>
        <w:t>Microsoft Advanced Specialization — SAP on Microsoft Azure</w:t>
      </w:r>
    </w:p>
    <w:p>
      <w:pPr>
        <w:jc w:val="center"/>
      </w:pPr>
      <w:r>
        <w:rPr>
          <w:b/>
          <w:color w:val="103A6F"/>
          <w:sz w:val="56"/>
        </w:rPr>
        <w:t>SAP on Microsoft Azure</w:t>
      </w:r>
    </w:p>
    <w:p>
      <w:pPr>
        <w:jc w:val="center"/>
      </w:pPr>
      <w:r>
        <w:rPr>
          <w:i/>
          <w:color w:val="0A70C0"/>
          <w:sz w:val="32"/>
        </w:rPr>
        <w:t>High-Level Design (HLD)</w:t>
      </w:r>
    </w:p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Engagement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Right-click here in Microsoft Word and choose Update Field to populate the table of contents from the headings below.</w:t>
      </w:r>
    </w:p>
    <w:p/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i/>
          <w:color w:val="555555"/>
        </w:rPr>
        <w:t>Outcome, scope, key decisions in one page.</w:t>
      </w:r>
    </w:p>
    <w:p/>
    <w:p>
      <w:pPr>
        <w:pStyle w:val="Heading1"/>
      </w:pPr>
      <w:r>
        <w:t>2. Business Context</w:t>
      </w:r>
    </w:p>
    <w:p>
      <w:r>
        <w:rPr>
          <w:i/>
          <w:color w:val="555555"/>
        </w:rPr>
        <w:t>Drivers, target dates, regulatory landscape.</w:t>
      </w:r>
    </w:p>
    <w:p/>
    <w:p>
      <w:pPr>
        <w:pStyle w:val="Heading1"/>
      </w:pPr>
      <w:r>
        <w:t>3. Scope &amp; Assumptions</w:t>
      </w:r>
    </w:p>
    <w:p>
      <w:r>
        <w:rPr>
          <w:i/>
          <w:color w:val="555555"/>
        </w:rPr>
        <w:t>In / out of scope, dependencies, RACI vs SAP and vs customer.</w:t>
      </w:r>
    </w:p>
    <w:p/>
    <w:p>
      <w:pPr>
        <w:pStyle w:val="Heading1"/>
      </w:pPr>
      <w:r>
        <w:t>4. Landing Zone</w:t>
      </w:r>
    </w:p>
    <w:p>
      <w:r>
        <w:rPr>
          <w:i/>
          <w:color w:val="555555"/>
        </w:rPr>
        <w:t>Subscriptions, management groups, tagging strategy, policy.</w:t>
      </w:r>
    </w:p>
    <w:p/>
    <w:p>
      <w:pPr>
        <w:pStyle w:val="Heading1"/>
      </w:pPr>
      <w:r>
        <w:t>5. Network</w:t>
      </w:r>
    </w:p>
    <w:p>
      <w:r>
        <w:rPr>
          <w:i/>
          <w:color w:val="555555"/>
        </w:rPr>
        <w:t>Hub-spoke topology, ExpressRoute SKU + circuit count, ExpressRoute Global Reach for DR, firewall, DNS.</w:t>
      </w:r>
    </w:p>
    <w:p/>
    <w:p>
      <w:pPr>
        <w:pStyle w:val="Heading1"/>
      </w:pPr>
      <w:r>
        <w:t>6. Identity</w:t>
      </w:r>
    </w:p>
    <w:p>
      <w:r>
        <w:rPr>
          <w:i/>
          <w:color w:val="555555"/>
        </w:rPr>
        <w:t>Entra ID design, SAML / OIDC for Fiori SSO, PIM for Basis admin elevation.</w:t>
      </w:r>
    </w:p>
    <w:p/>
    <w:p>
      <w:pPr>
        <w:pStyle w:val="Heading1"/>
      </w:pPr>
      <w:r>
        <w:t>7. SAP Application Landscape</w:t>
      </w:r>
    </w:p>
    <w:p>
      <w:r>
        <w:rPr>
          <w:i/>
          <w:color w:val="555555"/>
        </w:rPr>
        <w:t>System list with role and target architecture per system.</w:t>
      </w:r>
    </w:p>
    <w:p/>
    <w:p>
      <w:pPr>
        <w:pStyle w:val="Heading1"/>
      </w:pPr>
      <w:r>
        <w:t>8. HANA Topology</w:t>
      </w:r>
    </w:p>
    <w:p>
      <w:r>
        <w:rPr>
          <w:i/>
          <w:color w:val="555555"/>
        </w:rPr>
        <w:t>VM SKU, ANF layout, HSR mode, cluster design.</w:t>
      </w:r>
    </w:p>
    <w:p/>
    <w:p>
      <w:pPr>
        <w:pStyle w:val="Heading1"/>
      </w:pPr>
      <w:r>
        <w:t>9. HA Design</w:t>
      </w:r>
    </w:p>
    <w:p>
      <w:r>
        <w:rPr>
          <w:i/>
          <w:color w:val="555555"/>
        </w:rPr>
        <w:t>Zonal pair across AZs, ASCS / ERS clustering, ALB floating IP, file-system HA.</w:t>
      </w:r>
    </w:p>
    <w:p/>
    <w:p>
      <w:pPr>
        <w:pStyle w:val="Heading1"/>
      </w:pPr>
      <w:r>
        <w:t>10. DR Design</w:t>
      </w:r>
    </w:p>
    <w:p>
      <w:r>
        <w:rPr>
          <w:i/>
          <w:color w:val="555555"/>
        </w:rPr>
        <w:t>Secondary region, HSR async, ASR for app tier, drill cadence.</w:t>
      </w:r>
    </w:p>
    <w:p/>
    <w:p>
      <w:pPr>
        <w:pStyle w:val="Heading1"/>
      </w:pPr>
      <w:r>
        <w:t>11. Operations</w:t>
      </w:r>
    </w:p>
    <w:p>
      <w:r>
        <w:rPr>
          <w:i/>
          <w:color w:val="555555"/>
        </w:rPr>
        <w:t>ACSS, Azure Monitor for SAP solutions, Azure Backup for SAP HANA, Update Manager, alerting.</w:t>
      </w:r>
    </w:p>
    <w:p/>
    <w:p>
      <w:pPr>
        <w:pStyle w:val="Heading1"/>
      </w:pPr>
      <w:r>
        <w:t>12. Security</w:t>
      </w:r>
    </w:p>
    <w:p>
      <w:r>
        <w:rPr>
          <w:i/>
          <w:color w:val="555555"/>
        </w:rPr>
        <w:t>Defender for Cloud, encryption, secrets in Key Vault, network controls.</w:t>
      </w:r>
    </w:p>
    <w:p/>
    <w:p>
      <w:pPr>
        <w:pStyle w:val="Heading1"/>
      </w:pPr>
      <w:r>
        <w:t>13. Cost Model</w:t>
      </w:r>
    </w:p>
    <w:p>
      <w:r>
        <w:rPr>
          <w:i/>
          <w:color w:val="555555"/>
        </w:rPr>
        <w:t>Reserved Instances, dev/sandbox auto-shutdown, storage tiering.</w:t>
      </w:r>
    </w:p>
    <w:p/>
    <w:p>
      <w:pPr>
        <w:pStyle w:val="Heading1"/>
      </w:pPr>
      <w:r>
        <w:t>14. Risks &amp; Mitigations</w:t>
      </w:r>
    </w:p>
    <w:p>
      <w:r>
        <w:rPr>
          <w:i/>
          <w:color w:val="555555"/>
        </w:rPr>
        <w:t>Top risks with severity, owner, and mitigation plan.</w:t>
      </w:r>
    </w:p>
    <w:p/>
    <w:p>
      <w:pPr>
        <w:pStyle w:val="Heading1"/>
      </w:pPr>
      <w:r>
        <w:t>15. Sign-off</w:t>
      </w:r>
    </w:p>
    <w:p>
      <w:r>
        <w:rPr>
          <w:i/>
          <w:color w:val="555555"/>
        </w:rPr>
        <w:t>Customer architecture board sign-off.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SAP on Microsoft Azure — High-Level Design (HLD)</dc:title>
  <dc:subject>SAP on Microsoft Azure</dc:subject>
  <dc:creator>Microsoft Partner Innersource Template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