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4C81"/>
          <w:sz w:val="28"/>
        </w:rPr>
        <w:t>Microsoft Advanced Specialization</w:t>
      </w:r>
    </w:p>
    <w:p>
      <w:pPr>
        <w:jc w:val="center"/>
      </w:pPr>
      <w:r>
        <w:rPr>
          <w:b/>
          <w:color w:val="0F4C81"/>
          <w:sz w:val="40"/>
        </w:rPr>
        <w:t>VMware on Microsoft Azure (Azure VMware Solution)</w:t>
      </w:r>
    </w:p>
    <w:p>
      <w:pPr>
        <w:jc w:val="center"/>
      </w:pPr>
      <w:r>
        <w:rPr>
          <w:b/>
          <w:sz w:val="48"/>
        </w:rPr>
        <w:t>High-Level Design (HLD)</w:t>
      </w:r>
    </w:p>
    <w:p>
      <w:pPr>
        <w:jc w:val="center"/>
      </w:pPr>
      <w:r>
        <w:rPr>
          <w:i/>
          <w:color w:val="595959"/>
          <w:sz w:val="24"/>
        </w:rPr>
        <w:t>AVS solution design at the architecture level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&lt;customer name&gt;</w:t>
            </w:r>
          </w:p>
        </w:tc>
      </w:tr>
      <w:tr>
        <w:tc>
          <w:tcPr>
            <w:tcW w:type="dxa" w:w="4320"/>
          </w:tcPr>
          <w:p>
            <w:r>
              <w:t>Engagement code</w:t>
            </w:r>
          </w:p>
        </w:tc>
        <w:tc>
          <w:tcPr>
            <w:tcW w:type="dxa" w:w="4320"/>
          </w:tcPr>
          <w:p>
            <w:r>
              <w:t>&lt;code&gt;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&lt;YYYY-MM-DD&gt;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i/>
          <w:color w:val="595959"/>
        </w:rPr>
        <w:t>Engagement scope, target outcome, business drivers, success measures.</w:t>
      </w:r>
    </w:p>
    <w:p/>
    <w:p/>
    <w:p>
      <w:pPr>
        <w:pStyle w:val="Heading1"/>
      </w:pPr>
      <w:r>
        <w:t>2. Business context</w:t>
      </w:r>
    </w:p>
    <w:p>
      <w:r>
        <w:rPr>
          <w:i/>
          <w:color w:val="595959"/>
        </w:rPr>
        <w:t>Datacenter exit / consolidation / DR / VDI / mission-critical rehost? Top-3 drivers and the AVS reference architecture chosen.</w:t>
      </w:r>
    </w:p>
    <w:p/>
    <w:p/>
    <w:p>
      <w:pPr>
        <w:pStyle w:val="Heading1"/>
      </w:pPr>
      <w:r>
        <w:t>3. Solution overview</w:t>
      </w:r>
    </w:p>
    <w:p>
      <w:r>
        <w:rPr>
          <w:i/>
          <w:color w:val="595959"/>
        </w:rPr>
        <w:t>AVS region(s), node SKU(s) (AV36 / AV36P / AV52 / AV64), cluster count, growth headroom, multi-AZ or stretched cluster posture.</w:t>
      </w:r>
    </w:p>
    <w:p/>
    <w:p/>
    <w:p>
      <w:pPr>
        <w:pStyle w:val="Heading1"/>
      </w:pPr>
      <w:r>
        <w:t>4. Architecture (logical)</w:t>
      </w:r>
    </w:p>
    <w:p>
      <w:r>
        <w:rPr>
          <w:i/>
          <w:color w:val="595959"/>
        </w:rPr>
        <w:t>Logical diagram: AVS private cloud, hub VNet, ER + Global Reach, identity, mgmt, workload tiers, PaaS via Private Endpoint.</w:t>
      </w:r>
    </w:p>
    <w:p/>
    <w:p/>
    <w:p>
      <w:pPr>
        <w:pStyle w:val="Heading1"/>
      </w:pPr>
      <w:r>
        <w:t>5. Architecture (physical)</w:t>
      </w:r>
    </w:p>
    <w:p>
      <w:r>
        <w:rPr>
          <w:i/>
          <w:color w:val="595959"/>
        </w:rPr>
        <w:t>Physical: ER circuit endpoints, AVS mgmt subnets, workload segments, NSX-T tier-0/tier-1 layout, edge cluster.</w:t>
      </w:r>
    </w:p>
    <w:p/>
    <w:p/>
    <w:p>
      <w:pPr>
        <w:pStyle w:val="Heading1"/>
      </w:pPr>
      <w:r>
        <w:t>6. Connectivity &amp; networking</w:t>
      </w:r>
    </w:p>
    <w:p>
      <w:r>
        <w:rPr>
          <w:i/>
          <w:color w:val="595959"/>
        </w:rPr>
        <w:t>ER topology, Global Reach plan, Virtual WAN (if used), DNS forwarder strategy, DHCP placement, MTU.</w:t>
      </w:r>
    </w:p>
    <w:p/>
    <w:p/>
    <w:p>
      <w:pPr>
        <w:pStyle w:val="Heading1"/>
      </w:pPr>
      <w:r>
        <w:t>7. Identity &amp; access</w:t>
      </w:r>
    </w:p>
    <w:p>
      <w:r>
        <w:rPr>
          <w:i/>
          <w:color w:val="595959"/>
        </w:rPr>
        <w:t>Identity source for vCenter/NSX-T, Entra ID integration, on-prem AD trust, RBAC model, PIM.</w:t>
      </w:r>
    </w:p>
    <w:p/>
    <w:p/>
    <w:p>
      <w:pPr>
        <w:pStyle w:val="Heading1"/>
      </w:pPr>
      <w:r>
        <w:t>8. Storage</w:t>
      </w:r>
    </w:p>
    <w:p>
      <w:r>
        <w:rPr>
          <w:i/>
          <w:color w:val="595959"/>
        </w:rPr>
        <w:t>vSAN ESA vs traditional, ANF for AVS use-cases, sizing, snapshots, backup integration.</w:t>
      </w:r>
    </w:p>
    <w:p/>
    <w:p/>
    <w:p>
      <w:pPr>
        <w:pStyle w:val="Heading1"/>
      </w:pPr>
      <w:r>
        <w:t>9. Migration approach</w:t>
      </w:r>
    </w:p>
    <w:p>
      <w:r>
        <w:rPr>
          <w:i/>
          <w:color w:val="595959"/>
        </w:rPr>
        <w:t>HCX vs vMotion-based vs 3rd-party, wave plan summary, pilot VM strategy.</w:t>
      </w:r>
    </w:p>
    <w:p/>
    <w:p/>
    <w:p>
      <w:pPr>
        <w:pStyle w:val="Heading1"/>
      </w:pPr>
      <w:r>
        <w:t>10. Backup, DR &amp; BCDR</w:t>
      </w:r>
    </w:p>
    <w:p>
      <w:r>
        <w:rPr>
          <w:i/>
          <w:color w:val="595959"/>
        </w:rPr>
        <w:t>Azure Backup Server (or partner), SRM/HCX DR, automated DR-runbook approach, RPO/RTO per tier.</w:t>
      </w:r>
    </w:p>
    <w:p/>
    <w:p/>
    <w:p>
      <w:pPr>
        <w:pStyle w:val="Heading1"/>
      </w:pPr>
      <w:r>
        <w:t>11. Security &amp; governance</w:t>
      </w:r>
    </w:p>
    <w:p>
      <w:r>
        <w:rPr>
          <w:i/>
          <w:color w:val="595959"/>
        </w:rPr>
        <w:t>Defender for Cloud, NSX-T DFW baseline, Azure Policy, ALZ alignment.</w:t>
      </w:r>
    </w:p>
    <w:p/>
    <w:p/>
    <w:p>
      <w:pPr>
        <w:pStyle w:val="Heading1"/>
      </w:pPr>
      <w:r>
        <w:t>12. Operations &amp; monitoring</w:t>
      </w:r>
    </w:p>
    <w:p>
      <w:r>
        <w:rPr>
          <w:i/>
          <w:color w:val="595959"/>
        </w:rPr>
        <w:t>Azure Monitor agents on guest VMs, vROps replacement plan if applicable, alerting, runbook tooling, patching.</w:t>
      </w:r>
    </w:p>
    <w:p/>
    <w:p/>
    <w:p>
      <w:pPr>
        <w:pStyle w:val="Heading1"/>
      </w:pPr>
      <w:r>
        <w:t>13. Cost</w:t>
      </w:r>
    </w:p>
    <w:p>
      <w:r>
        <w:rPr>
          <w:i/>
          <w:color w:val="595959"/>
        </w:rPr>
        <w:t>Pricing Calculator output reference, reservations plan, FinOps loop, ANF tiering.</w:t>
      </w:r>
    </w:p>
    <w:p/>
    <w:p/>
    <w:p>
      <w:pPr>
        <w:pStyle w:val="Heading1"/>
      </w:pPr>
      <w:r>
        <w:t>14. Risks &amp; assumptions</w:t>
      </w:r>
    </w:p>
    <w:p>
      <w:r>
        <w:rPr>
          <w:i/>
          <w:color w:val="595959"/>
        </w:rPr>
        <w:t>Open risks, assumptions, dependencies, decisions log.</w:t>
      </w:r>
    </w:p>
    <w:p/>
    <w:p/>
    <w:p>
      <w:pPr>
        <w:pStyle w:val="Heading1"/>
      </w:pPr>
      <w:r>
        <w:t>15. Approvals</w:t>
      </w:r>
    </w:p>
    <w:p>
      <w:r>
        <w:rPr>
          <w:i/>
          <w:color w:val="595959"/>
        </w:rPr>
        <w:t>Customer sign-off block (name, role, date, signature).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VMware on Microsoft Azure (Azure VMware Solution) — High-Level Design (HLD) — Microsoft Partner Innersource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VMware on Microsoft Azure (Azure VMware Solution) — High-Level Design (HLD)</dc:title>
  <dc:subject>AVS solution design at the architecture level</dc:subject>
  <dc:creator>Microsoft Partner Innersource Template</dc:creator>
  <cp:keywords>Microsoft Advanced Specialization; VMware on Microsoft Azure (Azure VMware Solution)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