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F4C81"/>
          <w:sz w:val="28"/>
        </w:rPr>
        <w:t>Microsoft Advanced Specialization</w:t>
      </w:r>
    </w:p>
    <w:p>
      <w:pPr>
        <w:jc w:val="center"/>
      </w:pPr>
      <w:r>
        <w:rPr>
          <w:b/>
          <w:color w:val="0F4C81"/>
          <w:sz w:val="40"/>
        </w:rPr>
        <w:t>VMware on Microsoft Azure (Azure VMware Solution)</w:t>
      </w:r>
    </w:p>
    <w:p>
      <w:pPr>
        <w:jc w:val="center"/>
      </w:pPr>
      <w:r>
        <w:rPr>
          <w:b/>
          <w:sz w:val="48"/>
        </w:rPr>
        <w:t>Hypercare Plan</w:t>
      </w:r>
    </w:p>
    <w:p>
      <w:pPr>
        <w:jc w:val="center"/>
      </w:pPr>
      <w:r>
        <w:rPr>
          <w:i/>
          <w:color w:val="595959"/>
          <w:sz w:val="24"/>
        </w:rPr>
        <w:t>Entry/exit criteria, on-call, severity, escalation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&lt;customer name&gt;</w:t>
            </w:r>
          </w:p>
        </w:tc>
      </w:tr>
      <w:tr>
        <w:tc>
          <w:tcPr>
            <w:tcW w:type="dxa" w:w="4320"/>
          </w:tcPr>
          <w:p>
            <w:r>
              <w:t>Engagement code</w:t>
            </w:r>
          </w:p>
        </w:tc>
        <w:tc>
          <w:tcPr>
            <w:tcW w:type="dxa" w:w="4320"/>
          </w:tcPr>
          <w:p>
            <w:r>
              <w:t>&lt;code&gt;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 (DRAFT)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&lt;YYYY-MM-DD&gt;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→ Update Field to populate the Table of Contents.</w:t>
        <w:fldChar w:fldCharType="end"/>
      </w:r>
    </w:p>
    <w:p>
      <w:r>
        <w:br w:type="page"/>
      </w:r>
    </w:p>
    <w:p>
      <w:pPr>
        <w:pStyle w:val="Heading1"/>
      </w:pPr>
      <w:r>
        <w:t>1. Entry criteria</w:t>
      </w:r>
    </w:p>
    <w:p>
      <w:r>
        <w:rPr>
          <w:i/>
          <w:color w:val="595959"/>
        </w:rPr>
        <w:t>Migration complete, customer sign-off captured, all SOPs handed over, monitoring live.</w:t>
      </w:r>
    </w:p>
    <w:p/>
    <w:p/>
    <w:p>
      <w:pPr>
        <w:pStyle w:val="Heading1"/>
      </w:pPr>
      <w:r>
        <w:t>2. Duration &amp; shifts</w:t>
      </w:r>
    </w:p>
    <w:p>
      <w:r>
        <w:rPr>
          <w:i/>
          <w:color w:val="595959"/>
        </w:rPr>
        <w:t>Default 30 calendar days; on-call schedule; business-hours vs after-hours coverage; named primary + secondary on-call.</w:t>
      </w:r>
    </w:p>
    <w:p/>
    <w:p/>
    <w:p>
      <w:pPr>
        <w:pStyle w:val="Heading1"/>
      </w:pPr>
      <w:r>
        <w:t>3. Severity matrix</w:t>
      </w:r>
    </w:p>
    <w:p>
      <w:r>
        <w:rPr>
          <w:i/>
          <w:color w:val="595959"/>
        </w:rPr>
        <w:t>Sev1/Sev2/Sev3/Sev4 definitions and response/resolution SLOs for AVS-specific incidents.</w:t>
      </w:r>
    </w:p>
    <w:p/>
    <w:p/>
    <w:p>
      <w:pPr>
        <w:pStyle w:val="Heading1"/>
      </w:pPr>
      <w:r>
        <w:t>4. Escalation path</w:t>
      </w:r>
    </w:p>
    <w:p>
      <w:r>
        <w:rPr>
          <w:i/>
          <w:color w:val="595959"/>
        </w:rPr>
        <w:t>Partner L1 → Partner L2 → Microsoft AVS support (joint case) → VMware support (when relevant).</w:t>
      </w:r>
    </w:p>
    <w:p/>
    <w:p/>
    <w:p>
      <w:pPr>
        <w:pStyle w:val="Heading1"/>
      </w:pPr>
      <w:r>
        <w:t>5. Daily standup format</w:t>
      </w:r>
    </w:p>
    <w:p>
      <w:r>
        <w:rPr>
          <w:i/>
          <w:color w:val="595959"/>
        </w:rPr>
        <w:t>Time, attendees, agenda, dashboard reviewed.</w:t>
      </w:r>
    </w:p>
    <w:p/>
    <w:p/>
    <w:p>
      <w:pPr>
        <w:pStyle w:val="Heading1"/>
      </w:pPr>
      <w:r>
        <w:t>6. Weekly review</w:t>
      </w:r>
    </w:p>
    <w:p>
      <w:r>
        <w:rPr>
          <w:i/>
          <w:color w:val="595959"/>
        </w:rPr>
        <w:t>Trend review: incidents, change failures, capacity, cost, customer satisfaction.</w:t>
      </w:r>
    </w:p>
    <w:p/>
    <w:p/>
    <w:p>
      <w:pPr>
        <w:pStyle w:val="Heading1"/>
      </w:pPr>
      <w:r>
        <w:t>7. Exit criteria</w:t>
      </w:r>
    </w:p>
    <w:p>
      <w:r>
        <w:rPr>
          <w:i/>
          <w:color w:val="595959"/>
        </w:rPr>
        <w:t>≤ N Sev2 in last 14 days; SOPs validated end-to-end; customer accepts BAU handover; lessons-learned issue opened.</w:t>
      </w:r>
    </w:p>
    <w:p/>
    <w:p/>
    <w:p>
      <w:pPr>
        <w:pStyle w:val="Heading1"/>
      </w:pPr>
      <w:r>
        <w:t>8. Handover artifacts</w:t>
      </w:r>
    </w:p>
    <w:p>
      <w:r>
        <w:rPr>
          <w:i/>
          <w:color w:val="595959"/>
        </w:rPr>
        <w:t>Updated runbooks, updated SOPs, monitoring/alert tuning history, open-risks register.</w:t>
      </w:r>
    </w:p>
    <w:p/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VMware on Microsoft Azure (Azure VMware Solution) — Hypercare Plan — Microsoft Partner Innersource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Advanced Specialization — VMware on Microsoft Azure (Azure VMware Solution) — Hypercare Plan</dc:title>
  <dc:subject>Entry/exit criteria, on-call, severity, escalation</dc:subject>
  <dc:creator>Microsoft Partner Innersource Template</dc:creator>
  <cp:keywords>Microsoft Advanced Specialization; VMware on Microsoft Azure (Azure VMware Solution)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