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F4C81"/>
          <w:sz w:val="28"/>
        </w:rPr>
        <w:t>Microsoft Advanced Specialization</w:t>
      </w:r>
    </w:p>
    <w:p>
      <w:pPr>
        <w:jc w:val="center"/>
      </w:pPr>
      <w:r>
        <w:rPr>
          <w:b/>
          <w:color w:val="0F4C81"/>
          <w:sz w:val="40"/>
        </w:rPr>
        <w:t>VMware on Microsoft Azure (Azure VMware Solution)</w:t>
      </w:r>
    </w:p>
    <w:p>
      <w:pPr>
        <w:jc w:val="center"/>
      </w:pPr>
      <w:r>
        <w:rPr>
          <w:b/>
          <w:sz w:val="48"/>
        </w:rPr>
        <w:t>Low-Level Design (LLD)</w:t>
      </w:r>
    </w:p>
    <w:p>
      <w:pPr>
        <w:jc w:val="center"/>
      </w:pPr>
      <w:r>
        <w:rPr>
          <w:i/>
          <w:color w:val="595959"/>
          <w:sz w:val="24"/>
        </w:rPr>
        <w:t>AVS solution design at the build-sheet level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&lt;customer name&gt;</w:t>
            </w:r>
          </w:p>
        </w:tc>
      </w:tr>
      <w:tr>
        <w:tc>
          <w:tcPr>
            <w:tcW w:type="dxa" w:w="4320"/>
          </w:tcPr>
          <w:p>
            <w:r>
              <w:t>Engagement code</w:t>
            </w:r>
          </w:p>
        </w:tc>
        <w:tc>
          <w:tcPr>
            <w:tcW w:type="dxa" w:w="4320"/>
          </w:tcPr>
          <w:p>
            <w:r>
              <w:t>&lt;code&gt;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 (DRAFT)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&lt;YYYY-MM-DD&gt;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Right-click → Update Field to populate the Table of Contents.</w:t>
        <w:fldChar w:fldCharType="end"/>
      </w:r>
    </w:p>
    <w:p>
      <w:r>
        <w:br w:type="page"/>
      </w:r>
    </w:p>
    <w:p>
      <w:pPr>
        <w:pStyle w:val="Heading1"/>
      </w:pPr>
      <w:r>
        <w:t>1. Scope &amp; versions</w:t>
      </w:r>
    </w:p>
    <w:p>
      <w:r>
        <w:rPr>
          <w:i/>
          <w:color w:val="595959"/>
        </w:rPr>
        <w:t>AVS portal version, HCX version, NSX-T version, vSphere version, ER circuit IDs, target subscription + RG names.</w:t>
      </w:r>
    </w:p>
    <w:p/>
    <w:p/>
    <w:p>
      <w:pPr>
        <w:pStyle w:val="Heading1"/>
      </w:pPr>
      <w:r>
        <w:t>2. AVS private cloud build sheet</w:t>
      </w:r>
    </w:p>
    <w:p>
      <w:r>
        <w:rPr>
          <w:i/>
          <w:color w:val="595959"/>
        </w:rPr>
        <w:t>Region, AZ, cluster name, node SKU, node count, mgmt CIDR, workload CIDR, HCX-enabled (yes/no), Internet enabled (yes/no).</w:t>
      </w:r>
    </w:p>
    <w:p/>
    <w:p/>
    <w:p>
      <w:pPr>
        <w:pStyle w:val="Heading1"/>
      </w:pPr>
      <w:r>
        <w:t>3. Networking — IP plan</w:t>
      </w:r>
    </w:p>
    <w:p>
      <w:r>
        <w:rPr>
          <w:i/>
          <w:color w:val="595959"/>
        </w:rPr>
        <w:t>Detailed CIDR plan: hub VNet, AVS mgmt /22, AVS workload segments per app tier, no overlap with on-prem.</w:t>
      </w:r>
    </w:p>
    <w:p/>
    <w:p/>
    <w:p>
      <w:pPr>
        <w:pStyle w:val="Heading1"/>
      </w:pPr>
      <w:r>
        <w:t>4. Networking — ExpressRoute</w:t>
      </w:r>
    </w:p>
    <w:p>
      <w:r>
        <w:rPr>
          <w:i/>
          <w:color w:val="595959"/>
        </w:rPr>
        <w:t>Circuit ID, peering location, SKU, bandwidth, ER Gateway / vWAN Hub, Global Reach pairings, BGP ASNs, MTU.</w:t>
      </w:r>
    </w:p>
    <w:p/>
    <w:p/>
    <w:p>
      <w:pPr>
        <w:pStyle w:val="Heading1"/>
      </w:pPr>
      <w:r>
        <w:t>5. NSX-T — overlays + DFW</w:t>
      </w:r>
    </w:p>
    <w:p>
      <w:r>
        <w:rPr>
          <w:i/>
          <w:color w:val="595959"/>
        </w:rPr>
        <w:t>Tier-0/tier-1 layout, segments per app tier, DFW baseline ruleset (allow mgmt, allow app-to-DB on specific ports, default deny).</w:t>
      </w:r>
    </w:p>
    <w:p/>
    <w:p/>
    <w:p>
      <w:pPr>
        <w:pStyle w:val="Heading1"/>
      </w:pPr>
      <w:r>
        <w:t>6. Identity bindings</w:t>
      </w:r>
    </w:p>
    <w:p>
      <w:r>
        <w:rPr>
          <w:i/>
          <w:color w:val="595959"/>
        </w:rPr>
        <w:t>vCenter identity source, NSX-T identity source, Entra ID for portal RBAC, on-prem AD DCs on Azure VMs (count, SKU, subnet).</w:t>
      </w:r>
    </w:p>
    <w:p/>
    <w:p/>
    <w:p>
      <w:pPr>
        <w:pStyle w:val="Heading1"/>
      </w:pPr>
      <w:r>
        <w:t>7. Storage</w:t>
      </w:r>
    </w:p>
    <w:p>
      <w:r>
        <w:rPr>
          <w:i/>
          <w:color w:val="595959"/>
        </w:rPr>
        <w:t>vSAN policy assignment per tier, ANF volume plan (capacity pool, service level, volume size, protocol).</w:t>
      </w:r>
    </w:p>
    <w:p/>
    <w:p/>
    <w:p>
      <w:pPr>
        <w:pStyle w:val="Heading1"/>
      </w:pPr>
      <w:r>
        <w:t>8. Backup</w:t>
      </w:r>
    </w:p>
    <w:p>
      <w:r>
        <w:rPr>
          <w:i/>
          <w:color w:val="595959"/>
        </w:rPr>
        <w:t>Backup tool, schedule per tier, retention, restore test cadence, MABS/MARS placement.</w:t>
      </w:r>
    </w:p>
    <w:p/>
    <w:p/>
    <w:p>
      <w:pPr>
        <w:pStyle w:val="Heading1"/>
      </w:pPr>
      <w:r>
        <w:t>9. DR</w:t>
      </w:r>
    </w:p>
    <w:p>
      <w:r>
        <w:rPr>
          <w:i/>
          <w:color w:val="595959"/>
        </w:rPr>
        <w:t>SRM/HCX/3rd-party config, protection groups, recovery plans, replication frequency.</w:t>
      </w:r>
    </w:p>
    <w:p/>
    <w:p/>
    <w:p>
      <w:pPr>
        <w:pStyle w:val="Heading1"/>
      </w:pPr>
      <w:r>
        <w:t>10. Monitoring</w:t>
      </w:r>
    </w:p>
    <w:p>
      <w:r>
        <w:rPr>
          <w:i/>
          <w:color w:val="595959"/>
        </w:rPr>
        <w:t>Azure Monitor agents on guests, Log Analytics workspace, custom alerts list, vROps replacement mapping.</w:t>
      </w:r>
    </w:p>
    <w:p/>
    <w:p/>
    <w:p>
      <w:pPr>
        <w:pStyle w:val="Heading1"/>
      </w:pPr>
      <w:r>
        <w:t>11. Runbook references</w:t>
      </w:r>
    </w:p>
    <w:p>
      <w:r>
        <w:rPr>
          <w:i/>
          <w:color w:val="595959"/>
        </w:rPr>
        <w:t>Links to cutover runbook, DR runbook, rollback runbook.</w:t>
      </w:r>
    </w:p>
    <w:p/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VMware on Microsoft Azure (Azure VMware Solution) — Low-Level Design (LLD) — Microsoft Partner Innersource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Advanced Specialization — VMware on Microsoft Azure (Azure VMware Solution) — Low-Level Design (LLD)</dc:title>
  <dc:subject>AVS solution design at the build-sheet level</dc:subject>
  <dc:creator>Microsoft Partner Innersource Template</dc:creator>
  <cp:keywords>Microsoft Advanced Specialization; VMware on Microsoft Azure (Azure VMware Solution)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