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F4C81"/>
          <w:sz w:val="28"/>
        </w:rPr>
        <w:t>Microsoft Advanced Specialization</w:t>
      </w:r>
    </w:p>
    <w:p>
      <w:pPr>
        <w:jc w:val="center"/>
      </w:pPr>
      <w:r>
        <w:rPr>
          <w:b/>
          <w:color w:val="0F4C81"/>
          <w:sz w:val="40"/>
        </w:rPr>
        <w:t>VMware on Microsoft Azure (Azure VMware Solution)</w:t>
      </w:r>
    </w:p>
    <w:p>
      <w:pPr>
        <w:jc w:val="center"/>
      </w:pPr>
      <w:r>
        <w:rPr>
          <w:b/>
          <w:sz w:val="48"/>
        </w:rPr>
        <w:t>Migration &amp; Operations Runbook</w:t>
      </w:r>
    </w:p>
    <w:p>
      <w:pPr>
        <w:jc w:val="center"/>
      </w:pPr>
      <w:r>
        <w:rPr>
          <w:i/>
          <w:color w:val="595959"/>
          <w:sz w:val="24"/>
        </w:rPr>
        <w:t>Wave plan, cutover steps, rollback, DR, incident playbook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&lt;customer name&gt;</w:t>
            </w:r>
          </w:p>
        </w:tc>
      </w:tr>
      <w:tr>
        <w:tc>
          <w:tcPr>
            <w:tcW w:type="dxa" w:w="4320"/>
          </w:tcPr>
          <w:p>
            <w:r>
              <w:t>Engagement code</w:t>
            </w:r>
          </w:p>
        </w:tc>
        <w:tc>
          <w:tcPr>
            <w:tcW w:type="dxa" w:w="4320"/>
          </w:tcPr>
          <w:p>
            <w:r>
              <w:t>&lt;code&gt;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 (DRAFT)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&lt;YYYY-MM-DD&gt;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→ Update Field to populate the Table of Contents.</w:t>
        <w:fldChar w:fldCharType="end"/>
      </w:r>
    </w:p>
    <w:p>
      <w:r>
        <w:br w:type="page"/>
      </w:r>
    </w:p>
    <w:p>
      <w:pPr>
        <w:pStyle w:val="Heading1"/>
      </w:pPr>
      <w:r>
        <w:t>1. Wave plan</w:t>
      </w:r>
    </w:p>
    <w:p>
      <w:r>
        <w:rPr>
          <w:i/>
          <w:color w:val="595959"/>
        </w:rPr>
        <w:t>List of waves, workload groups per wave, VM counts, migration type per wave (HCX Bulk / vMotion / RAV / Cold), target windows, owners.</w:t>
      </w:r>
    </w:p>
    <w:p/>
    <w:p/>
    <w:p>
      <w:pPr>
        <w:pStyle w:val="Heading1"/>
      </w:pPr>
      <w:r>
        <w:t>2. Pre-migration checklist</w:t>
      </w:r>
    </w:p>
    <w:p>
      <w:r>
        <w:rPr>
          <w:i/>
          <w:color w:val="595959"/>
        </w:rPr>
        <w:t>All pre-flight checks for each wave: HCX service mesh healthy, target segments ready, backup taken, change ticket approved, comms sent.</w:t>
      </w:r>
    </w:p>
    <w:p/>
    <w:p/>
    <w:p>
      <w:pPr>
        <w:pStyle w:val="Heading1"/>
      </w:pPr>
      <w:r>
        <w:t>3. Cutover steps</w:t>
      </w:r>
    </w:p>
    <w:p>
      <w:r>
        <w:rPr>
          <w:i/>
          <w:color w:val="595959"/>
        </w:rPr>
        <w:t>Numbered, time-stamped steps for cutover. Include rollback decision points and named approver.</w:t>
      </w:r>
    </w:p>
    <w:p/>
    <w:p/>
    <w:p>
      <w:pPr>
        <w:pStyle w:val="Heading1"/>
      </w:pPr>
      <w:r>
        <w:t>4. Post-cutover validation</w:t>
      </w:r>
    </w:p>
    <w:p>
      <w:r>
        <w:rPr>
          <w:i/>
          <w:color w:val="595959"/>
        </w:rPr>
        <w:t>Smoke tests, perf checks, monitoring verification, user acceptance prompts.</w:t>
      </w:r>
    </w:p>
    <w:p/>
    <w:p/>
    <w:p>
      <w:pPr>
        <w:pStyle w:val="Heading1"/>
      </w:pPr>
      <w:r>
        <w:t>5. Rollback plan</w:t>
      </w:r>
    </w:p>
    <w:p>
      <w:r>
        <w:rPr>
          <w:i/>
          <w:color w:val="595959"/>
        </w:rPr>
        <w:t>Step-by-step rollback if cutover fails; data divergence handling.</w:t>
      </w:r>
    </w:p>
    <w:p/>
    <w:p/>
    <w:p>
      <w:pPr>
        <w:pStyle w:val="Heading1"/>
      </w:pPr>
      <w:r>
        <w:t>6. DR runbook (separate exercise)</w:t>
      </w:r>
    </w:p>
    <w:p>
      <w:r>
        <w:rPr>
          <w:i/>
          <w:color w:val="595959"/>
        </w:rPr>
        <w:t>Failover steps, failback steps, communication plan, success criteria.</w:t>
      </w:r>
    </w:p>
    <w:p/>
    <w:p/>
    <w:p>
      <w:pPr>
        <w:pStyle w:val="Heading1"/>
      </w:pPr>
      <w:r>
        <w:t>7. Incident playbook</w:t>
      </w:r>
    </w:p>
    <w:p>
      <w:r>
        <w:rPr>
          <w:i/>
          <w:color w:val="595959"/>
        </w:rPr>
        <w:t>Common AVS incidents: HCX service degradation, ER circuit flap, vSAN host failure — triage steps and escalation contacts.</w:t>
      </w:r>
    </w:p>
    <w:p/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VMware on Microsoft Azure (Azure VMware Solution) — Migration &amp; Operations Runbook — Microsoft Partner Innersource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Advanced Specialization — VMware on Microsoft Azure (Azure VMware Solution) — Migration &amp; Operations Runbook</dc:title>
  <dc:subject>Wave plan, cutover steps, rollback, DR, incident playbook</dc:subject>
  <dc:creator>Microsoft Partner Innersource Template</dc:creator>
  <cp:keywords>Microsoft Advanced Specialization; VMware on Microsoft Azure (Azure VMware Solution)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