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4C81"/>
          <w:sz w:val="28"/>
        </w:rPr>
        <w:t>Microsoft Advanced Specialization</w:t>
      </w:r>
    </w:p>
    <w:p>
      <w:pPr>
        <w:jc w:val="center"/>
      </w:pPr>
      <w:r>
        <w:rPr>
          <w:b/>
          <w:color w:val="0F4C81"/>
          <w:sz w:val="40"/>
        </w:rPr>
        <w:t>VMware on Microsoft Azure (Azure VMware Solution)</w:t>
      </w:r>
    </w:p>
    <w:p>
      <w:pPr>
        <w:jc w:val="center"/>
      </w:pPr>
      <w:r>
        <w:rPr>
          <w:b/>
          <w:sz w:val="48"/>
        </w:rPr>
        <w:t>Qualification Questionnaire</w:t>
      </w:r>
    </w:p>
    <w:p>
      <w:pPr>
        <w:jc w:val="center"/>
      </w:pPr>
      <w:r>
        <w:rPr>
          <w:i/>
          <w:color w:val="595959"/>
          <w:sz w:val="24"/>
        </w:rPr>
        <w:t>Pre-engagement discovery interview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&lt;customer name&gt;</w:t>
            </w:r>
          </w:p>
        </w:tc>
      </w:tr>
      <w:tr>
        <w:tc>
          <w:tcPr>
            <w:tcW w:type="dxa" w:w="4320"/>
          </w:tcPr>
          <w:p>
            <w:r>
              <w:t>Engagement code</w:t>
            </w:r>
          </w:p>
        </w:tc>
        <w:tc>
          <w:tcPr>
            <w:tcW w:type="dxa" w:w="4320"/>
          </w:tcPr>
          <w:p>
            <w:r>
              <w:t>&lt;code&gt;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&lt;YYYY-MM-DD&gt;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Customer profile</w:t>
      </w:r>
    </w:p>
    <w:p>
      <w:r>
        <w:rPr>
          <w:i/>
          <w:color w:val="595959"/>
        </w:rPr>
        <w:t>Capture the customer organisation, industry, regions, regulatory framing, decision-makers, and the named executive sponsor.</w:t>
      </w:r>
    </w:p>
    <w:p/>
    <w:p/>
    <w:p>
      <w:pPr>
        <w:pStyle w:val="Heading1"/>
      </w:pPr>
      <w:r>
        <w:t>2. Current vSphere estate</w:t>
      </w:r>
    </w:p>
    <w:p>
      <w:r>
        <w:rPr>
          <w:i/>
          <w:color w:val="595959"/>
        </w:rPr>
        <w:t>Total clusters, ESXi hosts, vSphere version(s), CPU model(s), vSAN vs traditional storage, vCenter topology, NSX-T or NSX-V status, HCX licensing.</w:t>
      </w:r>
    </w:p>
    <w:p/>
    <w:p/>
    <w:p>
      <w:pPr>
        <w:pStyle w:val="Heading1"/>
      </w:pPr>
      <w:r>
        <w:t>3. Cluster sizing &amp; utilisation</w:t>
      </w:r>
    </w:p>
    <w:p>
      <w:r>
        <w:rPr>
          <w:i/>
          <w:color w:val="595959"/>
        </w:rPr>
        <w:t>vCPU/vRAM/storage per cluster, average CPU/RAM utilisation, peak utilisation, growth trajectory (12-month forward forecast).</w:t>
      </w:r>
    </w:p>
    <w:p/>
    <w:p/>
    <w:p>
      <w:pPr>
        <w:pStyle w:val="Heading1"/>
      </w:pPr>
      <w:r>
        <w:t>4. Workload inventory</w:t>
      </w:r>
    </w:p>
    <w:p>
      <w:r>
        <w:rPr>
          <w:i/>
          <w:color w:val="595959"/>
        </w:rPr>
        <w:t>Approximate VM count, OS mix, criticality tiers (T0/T1/T2), application owners, licensing constraints (SAP, Oracle, SQL FCI, SQL AGs).</w:t>
      </w:r>
    </w:p>
    <w:p/>
    <w:p/>
    <w:p>
      <w:pPr>
        <w:pStyle w:val="Heading1"/>
      </w:pPr>
      <w:r>
        <w:t>5. Networking</w:t>
      </w:r>
    </w:p>
    <w:p>
      <w:r>
        <w:rPr>
          <w:i/>
          <w:color w:val="595959"/>
        </w:rPr>
        <w:t>On-prem WAN topology, existing ExpressRoute circuits (location, bandwidth, peering type), planned ER bandwidth uplift, DNS, AD topology, IP plan &amp; non-overlapping CIDR availability for AVS mgmt + workload nets.</w:t>
      </w:r>
    </w:p>
    <w:p/>
    <w:p/>
    <w:p>
      <w:pPr>
        <w:pStyle w:val="Heading1"/>
      </w:pPr>
      <w:r>
        <w:t>6. Identity &amp; security</w:t>
      </w:r>
    </w:p>
    <w:p>
      <w:r>
        <w:rPr>
          <w:i/>
          <w:color w:val="595959"/>
        </w:rPr>
        <w:t>Entra ID tenant, on-prem AD trust, federation, MFA, PIM, Defender for Cloud posture, regulatory controls in scope (HIPAA, PCI, ISO 27001, etc.).</w:t>
      </w:r>
    </w:p>
    <w:p/>
    <w:p/>
    <w:p>
      <w:pPr>
        <w:pStyle w:val="Heading1"/>
      </w:pPr>
      <w:r>
        <w:t>7. Backup, DR, BCDR objectives</w:t>
      </w:r>
    </w:p>
    <w:p>
      <w:r>
        <w:rPr>
          <w:i/>
          <w:color w:val="595959"/>
        </w:rPr>
        <w:t>Current backup tool, RPO/RTO targets per tier, DR strategy today, target DR strategy on AVS (SRM, HCX, Azure Site Recovery), tabletop frequency.</w:t>
      </w:r>
    </w:p>
    <w:p/>
    <w:p/>
    <w:p>
      <w:pPr>
        <w:pStyle w:val="Heading1"/>
      </w:pPr>
      <w:r>
        <w:t>8. Migration urgency &amp; drivers</w:t>
      </w:r>
    </w:p>
    <w:p>
      <w:r>
        <w:rPr>
          <w:i/>
          <w:color w:val="595959"/>
        </w:rPr>
        <w:t>Datacenter exit date, contract end dates, hardware EoL, M&amp;A, capacity ceiling, cost pressure, ranked top-3 drivers.</w:t>
      </w:r>
    </w:p>
    <w:p/>
    <w:p/>
    <w:p>
      <w:pPr>
        <w:pStyle w:val="Heading1"/>
      </w:pPr>
      <w:r>
        <w:t>9. Operations model</w:t>
      </w:r>
    </w:p>
    <w:p>
      <w:r>
        <w:rPr>
          <w:i/>
          <w:color w:val="595959"/>
        </w:rPr>
        <w:t>Run-state team structure, ITSM tooling, monitoring stack (vROps, SCOM, Azure Monitor), patching cadence, change-management approval flow.</w:t>
      </w:r>
    </w:p>
    <w:p/>
    <w:p/>
    <w:p>
      <w:pPr>
        <w:pStyle w:val="Heading1"/>
      </w:pPr>
      <w:r>
        <w:t>10. Pre-qualification confirmation</w:t>
      </w:r>
    </w:p>
    <w:p>
      <w:r>
        <w:rPr>
          <w:i/>
          <w:color w:val="595959"/>
        </w:rPr>
        <w:t>Confirm Solutions Partner for Infrastructure (Azure) designation; ACR thresholds; ≥1 AVS production customer and ≥2 Module A customers in last 12 months; AZ-104 + AZ-305 holders; (recommended) VCP-DCV / NSX-T / AZ-700.</w:t>
      </w:r>
    </w:p>
    <w:p/>
    <w:p/>
    <w:p>
      <w:pPr>
        <w:pStyle w:val="Heading1"/>
      </w:pPr>
      <w:r>
        <w:t>11. Audit logistics</w:t>
      </w:r>
    </w:p>
    <w:p>
      <w:r>
        <w:rPr>
          <w:i/>
          <w:color w:val="595959"/>
        </w:rPr>
        <w:t>Module B only vs combined Module A+B; preferred audit window; ISSI auditor coordination; checklist version (V1.9.1 active Jan 1 – Jun 30, 2026).</w:t>
      </w:r>
    </w:p>
    <w:p/>
    <w:p/>
    <w:p>
      <w:pPr>
        <w:pStyle w:val="Heading1"/>
      </w:pPr>
      <w:r>
        <w:t>12. Next steps</w:t>
      </w:r>
    </w:p>
    <w:p>
      <w:r>
        <w:rPr>
          <w:i/>
          <w:color w:val="595959"/>
        </w:rPr>
        <w:t>Decision point: proceed to Discovery Workshop, scope agreement, and signed SOW; named accountable owner per side; target dates.</w:t>
      </w:r>
    </w:p>
    <w:p/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VMware on Microsoft Azure (Azure VMware Solution) — Qualification Questionnaire — Microsoft Partner Innersource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VMware on Microsoft Azure (Azure VMware Solution) — Qualification Questionnaire</dc:title>
  <dc:subject>Pre-engagement discovery interview</dc:subject>
  <dc:creator>Microsoft Partner Innersource Template</dc:creator>
  <cp:keywords>Microsoft Advanced Specialization; VMware on Microsoft Azure (Azure VMware Solution)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