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20"/>
        </w:rPr>
        <w:t>ISO/IEC 27001:2022</w:t>
      </w:r>
    </w:p>
    <w:p>
      <w:pPr>
        <w:spacing w:after="120"/>
      </w:pPr>
      <w:r>
        <w:rPr>
          <w:rFonts w:ascii="Calibri" w:hAnsi="Calibri"/>
          <w:b/>
          <w:color w:val="1F4D78"/>
          <w:sz w:val="44"/>
        </w:rPr>
        <w:t>ДАННИ ЗА ОРГАНИЗАЦИЯТА</w:t>
      </w:r>
    </w:p>
    <w:p>
      <w:pPr>
        <w:spacing w:after="360"/>
      </w:pPr>
      <w:r>
        <w:rPr>
          <w:rFonts w:ascii="Calibri" w:hAnsi="Calibri"/>
          <w:b w:val="0"/>
          <w:color w:val="667085"/>
          <w:sz w:val="26"/>
        </w:rPr>
        <w:t>Система за управление на информационната сигурност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Организация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{{COMPANY_NAME}}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ЕИК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{{UIC}}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Седалище и адрес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{{ADDRESS}}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Управител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{{MANAGER}}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Представител на ръководството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{{REPRESENTATIVE}}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Лице за контакт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{{CONTACT_NAME}}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Имейл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{{EMAIL}}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Телефон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{{PHONE}}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Брой служители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{{EMPLOYEES}}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Основна дейност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{{ACTIVITY}}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Обхват на СУСИ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{{SCOPE}}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Дата на влизане в сила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{{EFFECTIVE_DATE}}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Версия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{{VERSION}}</w:t>
            </w:r>
          </w:p>
        </w:tc>
      </w:tr>
    </w:tbl>
    <w:p>
      <w:pPr>
        <w:spacing w:before="240" w:after="0"/>
      </w:pPr>
      <w:r>
        <w:rPr>
          <w:rFonts w:ascii="Calibri" w:hAnsi="Calibri"/>
          <w:b w:val="0"/>
          <w:color w:val="667085"/>
          <w:sz w:val="19"/>
        </w:rPr>
        <w:t>Този документ е неразделна част от комплектованата СУСИ и идентифицира организацията, за която е генерирана документацията.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7085"/>
        <w:sz w:val="18"/>
      </w:rPr>
      <w:t>Система за управление на информационната сигурност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7085"/>
        <w:sz w:val="18"/>
      </w:rPr>
      <w:t>ISO/IEC 27001:2022 | {{COMPANY_NAME}}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Данни за организацията - ISO/IEC 27001</dc:title>
  <dc:subject>Система за управление на информационната сигурност</dc:subject>
  <dc:creator>ISO сертифициране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