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32"/>
        <w:gridCol w:w="95"/>
        <w:gridCol w:w="1417"/>
        <w:gridCol w:w="5245"/>
        <w:gridCol w:w="1276"/>
      </w:tblGrid>
      <w:tr>
        <w:trPr/>
        <w:tc>
          <w:tcPr>
            <w:tcW w:w="2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ind w:end="-108"/>
              <w:outlineLvl w:val="0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ind w:end="-108"/>
              <w:outlineLvl w:val="0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Раздел №</w:t>
            </w:r>
          </w:p>
        </w:tc>
        <w:tc>
          <w:tcPr>
            <w:tcW w:w="15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b/>
                <w:sz w:val="22"/>
              </w:rPr>
            </w:pPr>
            <w:r>
              <w:rPr>
                <w:b/>
                <w:sz w:val="22"/>
              </w:rPr>
              <w:t>ISO9001:2015</w:t>
            </w:r>
          </w:p>
          <w:p>
            <w:pPr>
              <w:pStyle w:val="Normal"/>
              <w:ind w:end="-108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</w:rPr>
              <w:t>ISO14001:2015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outlineLvl w:val="0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Име на раздел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</w:rPr>
              <w:t>№</w:t>
            </w:r>
            <w:r>
              <w:rPr>
                <w:b/>
                <w:sz w:val="22"/>
                <w:lang w:val="bg-BG"/>
              </w:rPr>
              <w:t xml:space="preserve"> </w:t>
            </w:r>
            <w:r>
              <w:rPr>
                <w:b/>
                <w:sz w:val="22"/>
                <w:lang w:val="bg-BG"/>
              </w:rPr>
              <w:t>страници</w:t>
            </w:r>
          </w:p>
        </w:tc>
      </w:tr>
      <w:tr>
        <w:trPr>
          <w:cantSplit/>
        </w:trPr>
        <w:tc>
          <w:tcPr>
            <w:tcW w:w="100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color w:val="000080"/>
                <w:sz w:val="8"/>
                <w:szCs w:val="22"/>
                <w:lang w:val="bg-BG"/>
              </w:rPr>
            </w:pPr>
            <w:r>
              <w:rPr>
                <w:rFonts w:cs="Calibri" w:ascii="Calibri" w:hAnsi="Calibri"/>
                <w:b/>
                <w:color w:val="000080"/>
                <w:sz w:val="8"/>
                <w:szCs w:val="22"/>
                <w:lang w:val="bg-BG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outlineLvl w:val="1"/>
              <w:rPr/>
            </w:pPr>
            <w:r>
              <w:rPr>
                <w:b/>
                <w:color w:val="000080"/>
                <w:sz w:val="22"/>
                <w:lang w:val="bg-BG"/>
              </w:rPr>
              <w:t>ЧАСТ</w:t>
            </w:r>
            <w:r>
              <w:rPr>
                <w:b/>
                <w:color w:val="000080"/>
                <w:sz w:val="22"/>
              </w:rPr>
              <w:t xml:space="preserve"> – I : </w:t>
            </w:r>
            <w:r>
              <w:rPr>
                <w:b/>
                <w:color w:val="000080"/>
                <w:sz w:val="22"/>
                <w:lang w:val="bg-BG"/>
              </w:rPr>
              <w:t>Основни</w:t>
            </w:r>
          </w:p>
          <w:p>
            <w:pPr>
              <w:pStyle w:val="Normal"/>
              <w:rPr>
                <w:b/>
                <w:color w:val="000080"/>
                <w:sz w:val="8"/>
                <w:lang w:val="bg-BG"/>
              </w:rPr>
            </w:pPr>
            <w:r>
              <w:rPr>
                <w:b/>
                <w:color w:val="000080"/>
                <w:sz w:val="8"/>
                <w:lang w:val="bg-BG"/>
              </w:rPr>
            </w:r>
          </w:p>
        </w:tc>
      </w:tr>
      <w:tr>
        <w:trPr/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QEMR-Q-M-GN-01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Съдържание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</w:t>
            </w:r>
          </w:p>
        </w:tc>
      </w:tr>
      <w:tr>
        <w:trPr/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QEMR-Q-M-GN-02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Профил на организацията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</w:t>
            </w:r>
          </w:p>
        </w:tc>
      </w:tr>
      <w:tr>
        <w:trPr/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QEMR-Q-M-GN-03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0.3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22"/>
                <w:lang w:val="bg-BG"/>
              </w:rPr>
            </w:pPr>
            <w:r>
              <w:rPr>
                <w:sz w:val="22"/>
                <w:lang w:val="bg-BG"/>
              </w:rPr>
              <w:t>Модел на интегрираната система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</w:tr>
      <w:tr>
        <w:trPr/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QEMR-Q-M-GN-04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Контекст на Организацията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</w:tr>
      <w:tr>
        <w:trPr/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QEMR-Q-M-GN-05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4.3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outlineLvl w:val="2"/>
              <w:rPr>
                <w:color w:val="000000"/>
                <w:sz w:val="22"/>
                <w:highlight w:val="yellow"/>
              </w:rPr>
            </w:pPr>
            <w:r>
              <w:rPr>
                <w:color w:val="000000"/>
                <w:sz w:val="22"/>
                <w:lang w:val="bg-BG"/>
              </w:rPr>
              <w:t>Обхват на интегрираната система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</w:t>
            </w:r>
          </w:p>
        </w:tc>
      </w:tr>
      <w:tr>
        <w:trPr/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QEMR-Q-M-GN-06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5.2, 6.2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Политика и цели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</w:t>
            </w:r>
          </w:p>
        </w:tc>
      </w:tr>
      <w:tr>
        <w:trPr/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QEMR-Q-M-GN-07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5.3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Организационна структура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</w:tr>
      <w:tr>
        <w:trPr>
          <w:trHeight w:val="251" w:hRule="atLeast"/>
        </w:trPr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QEMR-Q-M-GN-08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5.1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outlineLvl w:val="3"/>
              <w:rPr>
                <w:sz w:val="22"/>
                <w:highlight w:val="yellow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Лидерство и ангажираност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</w:tr>
      <w:tr>
        <w:trPr>
          <w:trHeight w:val="251" w:hRule="atLeast"/>
        </w:trPr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QEMR-Q-M-GN-09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7.5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</w:rPr>
              <w:t xml:space="preserve">Разпределение на </w:t>
            </w:r>
            <w:r>
              <w:rPr>
                <w:sz w:val="22"/>
                <w:lang w:val="bg-BG"/>
              </w:rPr>
              <w:t>ИСУ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bg-BG"/>
              </w:rPr>
              <w:t>д</w:t>
            </w:r>
            <w:r>
              <w:rPr>
                <w:sz w:val="22"/>
              </w:rPr>
              <w:t>окумент</w:t>
            </w:r>
            <w:r>
              <w:rPr>
                <w:sz w:val="22"/>
                <w:lang w:val="bg-BG"/>
              </w:rPr>
              <w:t>и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</w:tr>
      <w:tr>
        <w:trPr/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>
                <w:sz w:val="22"/>
              </w:rPr>
              <w:t>QEMR-Q-M-GN-10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4.4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outlineLvl w:val="2"/>
              <w:rPr>
                <w:color w:val="000000"/>
                <w:sz w:val="22"/>
                <w:highlight w:val="yellow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Схема на процесите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w="100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outlineLvl w:val="1"/>
              <w:rPr>
                <w:rFonts w:ascii="Calibri" w:hAnsi="Calibri" w:cs="Calibri"/>
                <w:b/>
                <w:color w:val="000080"/>
                <w:sz w:val="8"/>
                <w:szCs w:val="22"/>
                <w:highlight w:val="yellow"/>
                <w:lang w:val="bg-BG"/>
              </w:rPr>
            </w:pPr>
            <w:r>
              <w:rPr>
                <w:rFonts w:cs="Calibri" w:ascii="Calibri" w:hAnsi="Calibri"/>
                <w:b/>
                <w:color w:val="000080"/>
                <w:sz w:val="8"/>
                <w:szCs w:val="22"/>
                <w:highlight w:val="yellow"/>
                <w:lang w:val="bg-BG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outlineLvl w:val="1"/>
              <w:rPr/>
            </w:pPr>
            <w:r>
              <w:rPr>
                <w:b/>
                <w:color w:val="000080"/>
                <w:sz w:val="22"/>
                <w:lang w:val="bg-BG"/>
              </w:rPr>
              <w:t>ЧАСТ</w:t>
            </w:r>
            <w:r>
              <w:rPr>
                <w:b/>
                <w:color w:val="000080"/>
                <w:sz w:val="22"/>
              </w:rPr>
              <w:t xml:space="preserve"> – II : </w:t>
            </w:r>
            <w:r>
              <w:rPr>
                <w:b/>
                <w:color w:val="000080"/>
                <w:sz w:val="22"/>
                <w:lang w:val="bg-BG"/>
              </w:rPr>
              <w:t>Процедури</w:t>
            </w:r>
          </w:p>
          <w:p>
            <w:pPr>
              <w:pStyle w:val="Normal"/>
              <w:jc w:val="both"/>
              <w:rPr>
                <w:b/>
                <w:color w:val="000080"/>
                <w:sz w:val="8"/>
                <w:highlight w:val="yellow"/>
                <w:lang w:val="bg-BG"/>
              </w:rPr>
            </w:pPr>
            <w:r>
              <w:rPr>
                <w:b/>
                <w:color w:val="000080"/>
                <w:sz w:val="8"/>
                <w:highlight w:val="yellow"/>
                <w:lang w:val="bg-BG"/>
              </w:rPr>
            </w:r>
          </w:p>
        </w:tc>
      </w:tr>
      <w:tr>
        <w:trPr/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QEMR-Q-M-PR-01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4, 6, 9.3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</w:rPr>
              <w:t>Процедура за планиране и преглед на ръководството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14</w:t>
            </w:r>
          </w:p>
        </w:tc>
      </w:tr>
      <w:tr>
        <w:trPr/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QEMR-Q-M-PR-02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4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Процедура по оперативно планиране и контрол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3</w:t>
            </w:r>
          </w:p>
        </w:tc>
      </w:tr>
      <w:tr>
        <w:trPr/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QEMR-Q-M-PR-03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9.2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Процедура по вътрешен одит по ИСУ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8</w:t>
            </w:r>
          </w:p>
        </w:tc>
      </w:tr>
      <w:tr>
        <w:trPr/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QEMR-Q-M-PR-04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10.2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outlineLvl w:val="2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Процедура за несъответствия и коригиращи действия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2</w:t>
            </w:r>
          </w:p>
        </w:tc>
      </w:tr>
      <w:tr>
        <w:trPr/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QEMR-Q-M-PR-05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8.2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outlineLvl w:val="2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Процедура за аварийна готовност и реагиране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6</w:t>
            </w:r>
          </w:p>
        </w:tc>
      </w:tr>
      <w:tr>
        <w:trPr/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QEMR-Q-M-PR-06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7.5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Процедура за управление на документираната информация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14</w:t>
            </w:r>
          </w:p>
        </w:tc>
      </w:tr>
      <w:tr>
        <w:trPr>
          <w:trHeight w:val="286" w:hRule="atLeast"/>
        </w:trPr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QEMR-Q-M-PR-</w:t>
            </w:r>
            <w:r>
              <w:rPr>
                <w:sz w:val="22"/>
              </w:rPr>
              <w:t>07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6.1.2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3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Процедура за идентифициране на значителните въздействия върху околната среда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8</w:t>
            </w:r>
          </w:p>
        </w:tc>
      </w:tr>
      <w:tr>
        <w:trPr>
          <w:trHeight w:val="286" w:hRule="atLeast"/>
        </w:trPr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QEMR-Q-M-PR-</w:t>
            </w:r>
            <w:r>
              <w:rPr>
                <w:sz w:val="22"/>
              </w:rPr>
              <w:t>08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6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Процедура за идентифициране и изпълнение на задълженията по спазване на екологичните изисквания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4</w:t>
            </w:r>
          </w:p>
        </w:tc>
      </w:tr>
      <w:tr>
        <w:trPr>
          <w:trHeight w:val="286" w:hRule="atLeast"/>
        </w:trPr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QEMR-Q-M-PR-</w:t>
            </w:r>
            <w:r>
              <w:rPr>
                <w:sz w:val="22"/>
              </w:rPr>
              <w:t>09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4,6,9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Процедура за оценка на аспектите, въздействията и съответствието на дейностите по околна среда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10</w:t>
            </w:r>
          </w:p>
        </w:tc>
      </w:tr>
      <w:tr>
        <w:trPr>
          <w:trHeight w:val="286" w:hRule="atLeast"/>
        </w:trPr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QEMR-Q-M-PR-</w:t>
            </w:r>
            <w:r>
              <w:rPr>
                <w:sz w:val="22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4.2.4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Процедура по управление на записите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8</w:t>
            </w:r>
          </w:p>
        </w:tc>
      </w:tr>
      <w:tr>
        <w:trPr>
          <w:trHeight w:val="286" w:hRule="atLeast"/>
        </w:trPr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>
                <w:sz w:val="22"/>
              </w:rPr>
              <w:t>QEMR-Q-M-PR-</w:t>
            </w:r>
            <w:r>
              <w:rPr>
                <w:sz w:val="22"/>
                <w:lang w:val="bg-BG"/>
              </w:rPr>
              <w:t>11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5.3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2"/>
              </w:rPr>
              <w:t>Процедура за възлагане на отговорности</w:t>
            </w:r>
            <w:r>
              <w:rPr>
                <w:color w:val="000000"/>
                <w:sz w:val="22"/>
                <w:lang w:val="bg-BG"/>
              </w:rPr>
              <w:t xml:space="preserve"> и пълномощия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</w:tr>
      <w:tr>
        <w:trPr>
          <w:trHeight w:val="286" w:hRule="atLeast"/>
        </w:trPr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 xml:space="preserve">QEMR-Q-M-PR- 12 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7.1.2, 7.2, 7.3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</w:rPr>
              <w:t xml:space="preserve">Процедура за оценка на </w:t>
            </w:r>
            <w:r>
              <w:rPr>
                <w:sz w:val="22"/>
                <w:lang w:val="bg-BG"/>
              </w:rPr>
              <w:t xml:space="preserve">компетентността и </w:t>
            </w:r>
            <w:r>
              <w:rPr>
                <w:sz w:val="22"/>
              </w:rPr>
              <w:t>качеството на обучение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3</w:t>
            </w:r>
          </w:p>
        </w:tc>
      </w:tr>
      <w:tr>
        <w:trPr>
          <w:trHeight w:val="286" w:hRule="atLeast"/>
        </w:trPr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QEMR-Q-M-PR-13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7.4, 8.2.1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Процедура за вътрешна и външна комуникация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</w:tr>
      <w:tr>
        <w:trPr>
          <w:trHeight w:val="286" w:hRule="atLeast"/>
        </w:trPr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QEMR-Q-M-PR- 14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8.2.2 - 8.2.4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2"/>
                <w:lang w:val="bg-BG"/>
              </w:rPr>
              <w:t>Процедура по маркетинг и преглед на поръчките</w:t>
            </w:r>
            <w:r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</w:t>
            </w:r>
          </w:p>
        </w:tc>
      </w:tr>
      <w:tr>
        <w:trPr>
          <w:trHeight w:val="286" w:hRule="atLeast"/>
        </w:trPr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QEMR-Q-M-PR-15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8.3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Процедура за дизайн и разработка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</w:t>
            </w:r>
          </w:p>
        </w:tc>
      </w:tr>
      <w:tr>
        <w:trPr>
          <w:trHeight w:val="286" w:hRule="atLeast"/>
        </w:trPr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QEMR-Q-M-PR-16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8.4.1, 8.4.2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</w:rPr>
              <w:t>Процедура за контрол на външн</w:t>
            </w:r>
            <w:r>
              <w:rPr>
                <w:color w:val="000000"/>
                <w:sz w:val="22"/>
                <w:lang w:val="bg-BG"/>
              </w:rPr>
              <w:t>и</w:t>
            </w:r>
            <w:r>
              <w:rPr>
                <w:color w:val="000000"/>
                <w:sz w:val="22"/>
              </w:rPr>
              <w:t xml:space="preserve"> процеси, продукти и услуги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</w:t>
            </w:r>
          </w:p>
        </w:tc>
      </w:tr>
      <w:tr>
        <w:trPr>
          <w:trHeight w:val="286" w:hRule="atLeast"/>
        </w:trPr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QEMR-Q-M-PR-17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</w:rPr>
              <w:t>8.4.3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Процедура за закупуване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</w:tr>
      <w:tr>
        <w:trPr>
          <w:trHeight w:val="286" w:hRule="atLeast"/>
        </w:trPr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QEMR-Q-M-PR-18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8.5.2, 8.6, 8.7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</w:rPr>
              <w:t>Процедура за идентификация, прослед</w:t>
            </w:r>
            <w:r>
              <w:rPr>
                <w:sz w:val="22"/>
                <w:lang w:val="bg-BG"/>
              </w:rPr>
              <w:t>имост,</w:t>
            </w:r>
            <w:r>
              <w:rPr>
                <w:sz w:val="22"/>
              </w:rPr>
              <w:t xml:space="preserve"> инспекция </w:t>
            </w:r>
            <w:r>
              <w:rPr>
                <w:sz w:val="22"/>
                <w:lang w:val="bg-BG"/>
              </w:rPr>
              <w:t>и м</w:t>
            </w:r>
            <w:r>
              <w:rPr>
                <w:sz w:val="22"/>
              </w:rPr>
              <w:t>аркировка</w:t>
            </w:r>
            <w:r>
              <w:rPr>
                <w:sz w:val="22"/>
                <w:lang w:val="bg-BG"/>
              </w:rPr>
              <w:t xml:space="preserve"> на продукта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</w:tr>
      <w:tr>
        <w:trPr>
          <w:trHeight w:val="286" w:hRule="atLeast"/>
        </w:trPr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</w:rPr>
              <w:t>QEMR-Q-M-PR-1</w:t>
            </w:r>
            <w:r>
              <w:rPr>
                <w:sz w:val="22"/>
                <w:lang w:val="bg-BG"/>
              </w:rPr>
              <w:t>9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8.5.3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Процедура за собственост, принадлежаща на клиенти или външни доставчици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</w:t>
            </w:r>
          </w:p>
        </w:tc>
      </w:tr>
      <w:tr>
        <w:trPr>
          <w:trHeight w:val="286" w:hRule="atLeast"/>
        </w:trPr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QEMR-Q-M-PR-20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8.6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ind w:hanging="0" w:start="0"/>
              <w:rPr>
                <w:b w:val="false"/>
                <w:color w:val="000000"/>
              </w:rPr>
            </w:pPr>
            <w:r>
              <w:rPr>
                <w:b w:val="false"/>
                <w:color w:val="000000"/>
              </w:rPr>
              <w:t>Процедура за осигуряване на качеството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</w:t>
            </w:r>
          </w:p>
        </w:tc>
      </w:tr>
      <w:tr>
        <w:trPr>
          <w:trHeight w:val="286" w:hRule="atLeast"/>
        </w:trPr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</w:rPr>
              <w:t>QEMR-Q-M-PR-</w:t>
            </w:r>
            <w:r>
              <w:rPr>
                <w:sz w:val="22"/>
                <w:lang w:val="bg-BG"/>
              </w:rPr>
              <w:t>21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9.1.2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Процедура за мониторинг и преглед на удовлетвореността на клиентите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</w:t>
            </w:r>
          </w:p>
        </w:tc>
      </w:tr>
      <w:tr>
        <w:trPr>
          <w:trHeight w:val="286" w:hRule="atLeast"/>
        </w:trPr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QEMR-Q-M-PR-22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10.2.1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ind w:hanging="0" w:start="0"/>
              <w:rPr/>
            </w:pPr>
            <w:r>
              <w:rPr>
                <w:rFonts w:cs="Times New Roman" w:ascii="Times New Roman" w:hAnsi="Times New Roman"/>
                <w:b w:val="false"/>
              </w:rPr>
              <w:t xml:space="preserve">Процедура за разглеждане на </w:t>
            </w:r>
            <w:r>
              <w:rPr>
                <w:rFonts w:cs="Times New Roman" w:ascii="Times New Roman" w:hAnsi="Times New Roman"/>
                <w:b w:val="false"/>
                <w:lang w:val="bg-BG"/>
              </w:rPr>
              <w:t>рекламация от</w:t>
            </w:r>
            <w:r>
              <w:rPr>
                <w:rFonts w:cs="Times New Roman" w:ascii="Times New Roman" w:hAnsi="Times New Roman"/>
                <w:b w:val="false"/>
              </w:rPr>
              <w:t xml:space="preserve"> клиенти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</w:tr>
      <w:tr>
        <w:trPr>
          <w:trHeight w:val="286" w:hRule="atLeast"/>
        </w:trPr>
        <w:tc>
          <w:tcPr>
            <w:tcW w:w="21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QЕMR-Q-M-PR-23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7.1.5</w:t>
            </w:r>
            <w:r>
              <w:rPr>
                <w:sz w:val="22"/>
                <w:lang w:val="bg-BG"/>
              </w:rPr>
              <w:t xml:space="preserve">, </w:t>
            </w:r>
            <w:r>
              <w:rPr>
                <w:sz w:val="22"/>
              </w:rPr>
              <w:t>9.1.1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Процедура за средствата за контрол, наблюдение и измерване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5</w:t>
            </w:r>
          </w:p>
        </w:tc>
      </w:tr>
    </w:tbl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tabs>
          <w:tab w:val="clear" w:pos="720"/>
          <w:tab w:val="left" w:pos="7815" w:leader="none"/>
        </w:tabs>
        <w:rPr>
          <w:sz w:val="16"/>
        </w:rPr>
      </w:pPr>
      <w:r>
        <w:rPr>
          <w:sz w:val="16"/>
        </w:rPr>
        <w:tab/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708" w:top="2610" w:footer="49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 Narrow">
    <w:charset w:val="00" w:characterSet="windows-1252"/>
    <w:family w:val="swiss"/>
    <w:pitch w:val="variable"/>
  </w:font>
  <w:font w:name="Cambria-Bold">
    <w:altName w:val="Times New Roman"/>
    <w:charset w:val="00" w:characterSet="windows-1252"/>
    <w:family w:val="roman"/>
    <w:pitch w:val="default"/>
  </w:font>
  <w:font w:name="Liberation Sans">
    <w:altName w:val="Arial"/>
    <w:charset w:val="cc" w:characterSet="windows-1251"/>
    <w:family w:val="swiss"/>
    <w:pitch w:val="variable"/>
  </w:font>
  <w:font w:name="Calibri">
    <w:charset w:val="00" w:characterSet="windows-1252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0"/>
      <w:gridCol w:w="2700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7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7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b/>
              <w:i/>
              <w:sz w:val="22"/>
              <w:lang w:val="bg-BG"/>
            </w:rPr>
            <w:t xml:space="preserve">Док. </w:t>
          </w:r>
          <w:r>
            <w:rPr>
              <w:b/>
              <w:i/>
              <w:sz w:val="22"/>
            </w:rPr>
            <w:t>№: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QMR-Q-M-GN-01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7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7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2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1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3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-168275</wp:posOffset>
              </wp:positionV>
              <wp:extent cx="6323965" cy="1304290"/>
              <wp:effectExtent l="0" t="0" r="0" b="0"/>
              <wp:wrapNone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23965" cy="130429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ПО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  <w:t>СЪДЪРЖАНИЕ:</w:t>
                                </w:r>
                              </w:p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r>
                              </w:p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95pt;height:102.7pt;mso-wrap-distance-left:9.05pt;mso-wrap-distance-right:9.05pt;mso-wrap-distance-top:0pt;mso-wrap-distance-bottom:0pt;margin-top:-13.2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ПО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  <w:lang w:val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  <w:t>СЪДЪРЖАНИЕ:</w:t>
                          </w:r>
                        </w:p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  <w:lang w:val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</w:r>
                        </w:p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  <w:lang w:val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rial Narrow" w:hAnsi="Arial Narrow" w:cs="Arial Narrow"/>
      <w:b/>
      <w:sz w:val="2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color w:val="000080"/>
      <w:sz w:val="2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color w:val="FF0000"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Cambria-Bold;Times New Roman" w:hAnsi="Cambria-Bold;Times New Roman" w:cs="Cambria-Bold;Times New Roman"/>
      <w:b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b/>
      <w:color w:val="800000"/>
      <w:sz w:val="22"/>
    </w:rPr>
  </w:style>
  <w:style w:type="character" w:styleId="WW8Num1z0">
    <w:name w:val="WW8Num1z0"/>
    <w:qFormat/>
    <w:rPr>
      <w:u w:val="single"/>
    </w:rPr>
  </w:style>
  <w:style w:type="character" w:styleId="Style9">
    <w:name w:val="Шрифт на абзаца по подразбиране"/>
    <w:qFormat/>
    <w:rPr/>
  </w:style>
  <w:style w:type="paragraph" w:styleId="Style10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"/>
    <w:basedOn w:val="Normal"/>
    <w:qFormat/>
    <w:pPr>
      <w:suppressLineNumbers/>
    </w:pPr>
    <w:rPr>
      <w:rFonts w:cs="Arial"/>
    </w:rPr>
  </w:style>
  <w:style w:type="paragraph" w:styleId="Style12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Style13">
    <w:name w:val="Без разредк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2001-08-22T14:29:00Z</dcterms:created>
  <dc:creator>ws</dc:creator>
  <dc:description/>
  <cp:keywords/>
  <dc:language>bg-BG</dc:language>
  <cp:lastModifiedBy>Nikolay Trayanov</cp:lastModifiedBy>
  <cp:lastPrinted>2017-02-24T10:12:00Z</cp:lastPrinted>
  <dcterms:modified xsi:type="dcterms:W3CDTF">2023-07-11T14:24:00Z</dcterms:modified>
  <cp:revision>263</cp:revision>
  <dc:subject/>
  <dc:title>1</dc:title>
</cp:coreProperties>
</file>