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Процесен </w:t>
      </w:r>
      <w:r>
        <w:rPr>
          <w:b/>
          <w:sz w:val="22"/>
          <w:u w:val="single"/>
          <w:lang w:val="bg-BG"/>
        </w:rPr>
        <w:t xml:space="preserve">и систематичен </w:t>
      </w:r>
      <w:r>
        <w:rPr>
          <w:b/>
          <w:sz w:val="22"/>
          <w:u w:val="single"/>
        </w:rPr>
        <w:t>подход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Интегрираната с</w:t>
      </w:r>
      <w:r>
        <w:rPr>
          <w:sz w:val="22"/>
        </w:rPr>
        <w:t>истема за управление</w:t>
      </w:r>
      <w:r>
        <w:rPr>
          <w:sz w:val="22"/>
          <w:lang w:val="bg-BG"/>
        </w:rPr>
        <w:t xml:space="preserve"> на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качеството и околната среда </w:t>
      </w:r>
      <w:r>
        <w:rPr>
          <w:sz w:val="22"/>
        </w:rPr>
        <w:t xml:space="preserve">на </w:t>
      </w:r>
      <w:r>
        <w:rPr>
          <w:sz w:val="22"/>
          <w:lang w:val="bg-BG"/>
        </w:rPr>
        <w:t>Н</w:t>
      </w:r>
      <w:r>
        <w:rPr>
          <w:sz w:val="22"/>
        </w:rPr>
        <w:t>ашата организация</w:t>
      </w:r>
      <w:r>
        <w:rPr>
          <w:sz w:val="22"/>
          <w:lang w:val="bg-BG"/>
        </w:rPr>
        <w:t xml:space="preserve"> </w:t>
      </w:r>
      <w:r>
        <w:rPr>
          <w:sz w:val="22"/>
        </w:rPr>
        <w:t>е разработена в съответствие с</w:t>
      </w:r>
      <w:r>
        <w:rPr>
          <w:sz w:val="22"/>
          <w:lang w:val="bg-BG"/>
        </w:rPr>
        <w:t>ъс стандарт</w:t>
      </w:r>
      <w:r>
        <w:rPr>
          <w:sz w:val="22"/>
        </w:rPr>
        <w:t xml:space="preserve"> ISO 9001:2015</w:t>
      </w:r>
      <w:r>
        <w:rPr>
          <w:sz w:val="22"/>
          <w:lang w:val="bg-BG"/>
        </w:rPr>
        <w:t xml:space="preserve"> и </w:t>
      </w:r>
      <w:r>
        <w:rPr>
          <w:sz w:val="22"/>
        </w:rPr>
        <w:t xml:space="preserve">ISO </w:t>
      </w:r>
      <w:r>
        <w:rPr>
          <w:sz w:val="22"/>
          <w:lang w:val="bg-BG"/>
        </w:rPr>
        <w:t>14</w:t>
      </w:r>
      <w:r>
        <w:rPr>
          <w:sz w:val="22"/>
        </w:rPr>
        <w:t>001:2015, ко</w:t>
      </w:r>
      <w:r>
        <w:rPr>
          <w:sz w:val="22"/>
          <w:lang w:val="bg-BG"/>
        </w:rPr>
        <w:t>и</w:t>
      </w:r>
      <w:r>
        <w:rPr>
          <w:sz w:val="22"/>
        </w:rPr>
        <w:t>то насърчава</w:t>
      </w:r>
      <w:r>
        <w:rPr>
          <w:sz w:val="22"/>
          <w:lang w:val="bg-BG"/>
        </w:rPr>
        <w:t>т</w:t>
      </w:r>
      <w:r>
        <w:rPr>
          <w:sz w:val="22"/>
        </w:rPr>
        <w:t xml:space="preserve"> приемането на процесен подход при разработването, изпълнението и подобряване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ефективността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системата, за да </w:t>
      </w:r>
      <w:r>
        <w:rPr>
          <w:sz w:val="22"/>
          <w:lang w:val="bg-BG"/>
        </w:rPr>
        <w:t xml:space="preserve">се </w:t>
      </w:r>
      <w:r>
        <w:rPr>
          <w:sz w:val="22"/>
        </w:rPr>
        <w:t>повиши удовлетвореността на клиентите</w:t>
      </w:r>
      <w:r>
        <w:rPr>
          <w:sz w:val="22"/>
          <w:lang w:val="bg-BG"/>
        </w:rPr>
        <w:t xml:space="preserve"> спрямо техните изисквания.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Постигането на баланс между околната среда, обществото и икономиката се счита за</w:t>
      </w:r>
      <w:r>
        <w:rPr>
          <w:sz w:val="22"/>
          <w:lang w:val="bg-BG" w:eastAsia="en-US"/>
        </w:rPr>
        <w:t xml:space="preserve"> изключително</w:t>
      </w:r>
      <w:r>
        <w:rPr>
          <w:sz w:val="22"/>
          <w:lang w:eastAsia="en-US"/>
        </w:rPr>
        <w:t xml:space="preserve"> важ</w:t>
      </w:r>
      <w:r>
        <w:rPr>
          <w:sz w:val="22"/>
          <w:lang w:val="bg-BG" w:eastAsia="en-US"/>
        </w:rPr>
        <w:t>ен аспект на всяка организация. Необходимо е</w:t>
      </w:r>
      <w:r>
        <w:rPr>
          <w:sz w:val="22"/>
          <w:lang w:eastAsia="en-US"/>
        </w:rPr>
        <w:t xml:space="preserve"> да се отговори на нуждите на настоящето, без да</w:t>
      </w:r>
      <w:r>
        <w:rPr>
          <w:sz w:val="22"/>
          <w:lang w:val="bg-BG" w:eastAsia="en-US"/>
        </w:rPr>
        <w:t xml:space="preserve"> се</w:t>
      </w:r>
      <w:r>
        <w:rPr>
          <w:sz w:val="22"/>
          <w:lang w:eastAsia="en-US"/>
        </w:rPr>
        <w:t xml:space="preserve"> излага на риск способността на бъдещите поколения да задоволяват своите нужди.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Устойчивото развитие като цел се постига чрез балансиране на трите стълба на устойчивото развитие.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Усвояването</w:t>
      </w:r>
      <w:r>
        <w:rPr>
          <w:sz w:val="22"/>
        </w:rPr>
        <w:t xml:space="preserve"> и управлението на взаимосвързани</w:t>
      </w:r>
      <w:r>
        <w:rPr>
          <w:sz w:val="22"/>
          <w:lang w:val="bg-BG"/>
        </w:rPr>
        <w:t>те</w:t>
      </w:r>
      <w:r>
        <w:rPr>
          <w:sz w:val="22"/>
        </w:rPr>
        <w:t xml:space="preserve"> процеси като система допринася за ефективността и ефикасността на организацията при постигането на планираните резултати. Този подход дава възможност на нашата организация да контролира взаимовръзките и взаимозависимостите между процесите на системата, така че цялостното </w:t>
      </w:r>
      <w:r>
        <w:rPr>
          <w:sz w:val="22"/>
          <w:lang w:val="bg-BG"/>
        </w:rPr>
        <w:t>състояние</w:t>
      </w:r>
      <w:r>
        <w:rPr>
          <w:sz w:val="22"/>
        </w:rPr>
        <w:t xml:space="preserve"> на организацията може да бъде подобрено.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Процесният подход</w:t>
      </w:r>
      <w:r>
        <w:rPr>
          <w:sz w:val="22"/>
        </w:rPr>
        <w:t xml:space="preserve"> включва системното определяне и управление на процеси и техните взаимодействия, така че да се постигнат желаните резултати в съответствие с политиката за качество</w:t>
      </w:r>
      <w:r>
        <w:rPr>
          <w:sz w:val="22"/>
          <w:lang w:val="bg-BG"/>
        </w:rPr>
        <w:t xml:space="preserve"> и </w:t>
      </w:r>
      <w:r>
        <w:rPr>
          <w:sz w:val="22"/>
        </w:rPr>
        <w:t>и стратегическото ръководство на организацията.</w:t>
      </w:r>
    </w:p>
    <w:p>
      <w:pPr>
        <w:pStyle w:val="Normal"/>
        <w:ind w:firstLine="720" w:end="283"/>
        <w:jc w:val="both"/>
        <w:rPr/>
      </w:pPr>
      <w:r>
        <w:rPr>
          <w:sz w:val="22"/>
          <w:lang w:eastAsia="en-US"/>
        </w:rPr>
        <w:t>Нашата организация смята, че систематич</w:t>
      </w:r>
      <w:r>
        <w:rPr>
          <w:sz w:val="22"/>
          <w:lang w:val="bg-BG" w:eastAsia="en-US"/>
        </w:rPr>
        <w:t>ния</w:t>
      </w:r>
      <w:r>
        <w:rPr>
          <w:sz w:val="22"/>
          <w:lang w:eastAsia="en-US"/>
        </w:rPr>
        <w:t xml:space="preserve"> подход за управление на околната среда може да осигури успех в дългосрочен план и да създаде възможности за допринасяне за устойчивото развитие чрез: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Опазване на околната среда чрез предотвратяване или намаляване на вредните въздействия върху </w:t>
      </w:r>
      <w:r>
        <w:rPr>
          <w:sz w:val="22"/>
          <w:lang w:val="bg-BG" w:eastAsia="en-US"/>
        </w:rPr>
        <w:t>нея;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- Смекчаване на потенциалните неблагоприятни последици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 xml:space="preserve">условията на околната среда </w:t>
      </w:r>
      <w:r>
        <w:rPr>
          <w:sz w:val="22"/>
          <w:lang w:val="bg-BG" w:eastAsia="en-US"/>
        </w:rPr>
        <w:t>от страна на</w:t>
      </w:r>
      <w:r>
        <w:rPr>
          <w:sz w:val="22"/>
          <w:lang w:eastAsia="en-US"/>
        </w:rPr>
        <w:t xml:space="preserve"> организацията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Подпомагане на организацията в изпълнение на задълженията за съответствие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Подобряване на екологичните показатели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Контролиране или влия</w:t>
      </w:r>
      <w:r>
        <w:rPr>
          <w:sz w:val="22"/>
          <w:lang w:val="bg-BG" w:eastAsia="en-US"/>
        </w:rPr>
        <w:t>ене върху</w:t>
      </w:r>
      <w:r>
        <w:rPr>
          <w:sz w:val="22"/>
          <w:lang w:eastAsia="en-US"/>
        </w:rPr>
        <w:t xml:space="preserve"> начина, по който продуктите и услугите на организацията, са проектирани, произведени, разпределени, консумира</w:t>
      </w:r>
      <w:r>
        <w:rPr>
          <w:sz w:val="22"/>
          <w:lang w:val="bg-BG" w:eastAsia="en-US"/>
        </w:rPr>
        <w:t>ни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от</w:t>
      </w:r>
      <w:r>
        <w:rPr>
          <w:sz w:val="22"/>
          <w:lang w:eastAsia="en-US"/>
        </w:rPr>
        <w:t xml:space="preserve"> гледна точка на жизнения цикъл, който може да попречи на</w:t>
      </w:r>
      <w:r>
        <w:rPr>
          <w:sz w:val="22"/>
          <w:lang w:val="bg-BG" w:eastAsia="en-US"/>
        </w:rPr>
        <w:t xml:space="preserve"> неблагоприятното</w:t>
      </w:r>
      <w:r>
        <w:rPr>
          <w:sz w:val="22"/>
          <w:lang w:eastAsia="en-US"/>
        </w:rPr>
        <w:t xml:space="preserve"> въздействие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върху околната среда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Постигане на финансови и оперативни ползи, които могат да са резултат от прилагането на екологични алтернативи, които да укрепят позицията на организацията на пазара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- Предоставяне на информация за околната среда на съответните заинтересовани страни.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>Управление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процесите и на системата като цяло се постига с помощта на </w:t>
      </w:r>
      <w:r>
        <w:rPr>
          <w:sz w:val="22"/>
          <w:lang w:val="bg-BG"/>
        </w:rPr>
        <w:t>„Цикъла на Деминг” или  още наричан „Ц</w:t>
      </w:r>
      <w:r>
        <w:rPr>
          <w:sz w:val="22"/>
        </w:rPr>
        <w:t>икъла PDCA</w:t>
      </w:r>
      <w:r>
        <w:rPr>
          <w:sz w:val="22"/>
          <w:lang w:val="bg-BG"/>
        </w:rPr>
        <w:t>”</w:t>
      </w:r>
      <w:r>
        <w:rPr>
          <w:sz w:val="22"/>
        </w:rPr>
        <w:t xml:space="preserve"> с общ фокус върху риска, насочен към възползване от възможности и предотвратяване на нежелани резултати.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>Прилагането на процесния подход в системата за управление на позволява:</w:t>
      </w:r>
    </w:p>
    <w:p>
      <w:pPr>
        <w:pStyle w:val="Normal"/>
        <w:jc w:val="both"/>
        <w:rPr>
          <w:sz w:val="10"/>
          <w:lang w:val="bg-BG"/>
        </w:rPr>
      </w:pPr>
      <w:r>
        <w:rPr>
          <w:sz w:val="10"/>
          <w:lang w:val="bg-BG"/>
        </w:rPr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 xml:space="preserve">разбиране и последователност при съблюдаване </w:t>
      </w:r>
      <w:r>
        <w:rPr>
          <w:sz w:val="22"/>
          <w:lang w:val="bg-BG"/>
        </w:rPr>
        <w:t>на изискванията</w:t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постигане на ефективно изпълнение на процеса, и</w:t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sz w:val="22"/>
        </w:rPr>
        <w:t>подобряване на процесите на базата на оценка на данни и информация.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Heading1"/>
        <w:ind w:hanging="0" w:start="0"/>
        <w:jc w:val="both"/>
        <w:rPr>
          <w:lang w:val="bg-BG"/>
        </w:rPr>
      </w:pPr>
      <w:r>
        <w:rPr>
          <w:lang w:val="bg-BG"/>
        </w:rPr>
        <w:t>Цикъл на Деминг/</w:t>
      </w:r>
      <w:r>
        <w:rPr/>
        <w:t xml:space="preserve">PDCA </w:t>
      </w:r>
      <w:r>
        <w:rPr>
          <w:lang w:val="bg-BG"/>
        </w:rPr>
        <w:t>цикъл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4961255</wp:posOffset>
                </wp:positionH>
                <wp:positionV relativeFrom="paragraph">
                  <wp:posOffset>1438275</wp:posOffset>
                </wp:positionV>
                <wp:extent cx="198120" cy="10922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0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90.65pt;margin-top:113.25pt;width:15.55pt;height:8.55pt;mso-wrap-style:none;v-text-anchor:middle">
                <v:fill o:detectmouseclick="t" type="solid" color2="black"/>
                <v:stroke color="white" weight="936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4145915" cy="2771775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4881245</wp:posOffset>
                </wp:positionH>
                <wp:positionV relativeFrom="paragraph">
                  <wp:posOffset>1433830</wp:posOffset>
                </wp:positionV>
                <wp:extent cx="398145" cy="172720"/>
                <wp:effectExtent l="0" t="0" r="0" b="0"/>
                <wp:wrapNone/>
                <wp:docPr id="3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" cy="1727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sz w:val="10"/>
                                <w:szCs w:val="1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  <w:lang w:val="bg-BG"/>
                              </w:rPr>
                              <w:t>ИСУ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31.35pt;height:13.6pt;mso-wrap-distance-left:9.05pt;mso-wrap-distance-right:9.05pt;mso-wrap-distance-top:0pt;mso-wrap-distance-bottom:0pt;margin-top:112.9pt;mso-position-vertical-relative:text;margin-left:384.3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sz w:val="10"/>
                          <w:szCs w:val="10"/>
                          <w:lang w:val="bg-BG"/>
                        </w:rPr>
                      </w:pPr>
                      <w:r>
                        <w:rPr>
                          <w:b/>
                          <w:sz w:val="10"/>
                          <w:szCs w:val="10"/>
                          <w:lang w:val="bg-BG"/>
                        </w:rPr>
                        <w:t>ИСУ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1960880</wp:posOffset>
                </wp:positionH>
                <wp:positionV relativeFrom="paragraph">
                  <wp:posOffset>109855</wp:posOffset>
                </wp:positionV>
                <wp:extent cx="2138045" cy="166370"/>
                <wp:effectExtent l="0" t="0" r="0" b="0"/>
                <wp:wrapNone/>
                <wp:docPr id="4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45" cy="1663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0"/>
                                <w:szCs w:val="10"/>
                                <w:lang w:val="bg-BG"/>
                              </w:rPr>
                              <w:t>Интегрирана система за управление на качеството и околната среда (4)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68.35pt;height:13.1pt;mso-wrap-distance-left:9.05pt;mso-wrap-distance-right:9.05pt;mso-wrap-distance-top:0pt;mso-wrap-distance-bottom:0pt;margin-top:8.65pt;mso-position-vertical-relative:text;margin-left:154.4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0"/>
                          <w:szCs w:val="10"/>
                          <w:lang w:val="bg-BG"/>
                        </w:rPr>
                        <w:t>Интегрирана система за управление на качеството и околната среда (4)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i/>
          <w:sz w:val="22"/>
          <w:lang w:val="bg-BG"/>
        </w:rPr>
      </w:pPr>
      <w:r>
        <w:rPr>
          <w:i/>
          <w:sz w:val="22"/>
          <w:lang w:val="bg-BG"/>
        </w:rPr>
      </w:r>
    </w:p>
    <w:p>
      <w:pPr>
        <w:pStyle w:val="Normal"/>
        <w:jc w:val="both"/>
        <w:rPr>
          <w:i/>
          <w:sz w:val="22"/>
          <w:lang w:val="bg-BG"/>
        </w:rPr>
      </w:pPr>
      <w:r>
        <w:rPr>
          <w:i/>
          <w:sz w:val="20"/>
          <w:lang w:eastAsia="en-US"/>
        </w:rPr>
        <w:t>Забележка: Стойностите в скоби</w:t>
      </w:r>
      <w:r>
        <w:rPr>
          <w:i/>
          <w:sz w:val="20"/>
          <w:lang w:val="bg-BG" w:eastAsia="en-US"/>
        </w:rPr>
        <w:t>те</w:t>
      </w:r>
      <w:r>
        <w:rPr>
          <w:i/>
          <w:sz w:val="20"/>
          <w:lang w:eastAsia="en-US"/>
        </w:rPr>
        <w:t xml:space="preserve"> се отнасят до </w:t>
      </w:r>
      <w:r>
        <w:rPr>
          <w:i/>
          <w:sz w:val="20"/>
          <w:lang w:val="bg-BG" w:eastAsia="en-US"/>
        </w:rPr>
        <w:t>клаузите на Интегрираната система.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Цикълът PDCA може да се прилага за всички процеси и към системата за управление на качеството </w:t>
      </w:r>
      <w:r>
        <w:rPr>
          <w:sz w:val="22"/>
          <w:lang w:val="bg-BG"/>
        </w:rPr>
        <w:t xml:space="preserve">и околната среда и здравословните и безопасни условия на труд </w:t>
      </w:r>
      <w:r>
        <w:rPr>
          <w:sz w:val="22"/>
        </w:rPr>
        <w:t>като цяло.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66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6"/>
        <w:gridCol w:w="270"/>
        <w:gridCol w:w="8280"/>
      </w:tblGrid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План (Р)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jc w:val="both"/>
              <w:rPr/>
            </w:pPr>
            <w:r>
              <w:rPr>
                <w:b/>
                <w:sz w:val="22"/>
                <w:lang w:val="bg-BG"/>
              </w:rPr>
              <w:t xml:space="preserve"> 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</w:rPr>
              <w:t>Установяване на целите на системата и нейните процеси, както и ресурсите, необходими за постигане на резултати в съответствие с изискванията на клиентите и политиката на организацията, както и определяне и справяне с рискове и възможности.</w:t>
            </w:r>
          </w:p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jc w:val="both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Изпълнение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bg-BG"/>
              </w:rPr>
              <w:t>(</w:t>
            </w: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  <w:lang w:val="bg-BG"/>
              </w:rPr>
              <w:t>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</w:rPr>
              <w:t>Прилагане на това, което e планирано.</w:t>
            </w:r>
          </w:p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jc w:val="both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Проверка (</w:t>
            </w:r>
            <w:r>
              <w:rPr>
                <w:b/>
                <w:sz w:val="22"/>
                <w:lang w:eastAsia="en-US"/>
              </w:rPr>
              <w:t>C</w:t>
            </w:r>
            <w:r>
              <w:rPr>
                <w:b/>
                <w:sz w:val="22"/>
                <w:lang w:val="bg-BG" w:eastAsia="en-US"/>
              </w:rPr>
              <w:t>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Мониторинг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bg-BG"/>
              </w:rPr>
              <w:t>на</w:t>
            </w:r>
            <w:r>
              <w:rPr>
                <w:sz w:val="22"/>
              </w:rPr>
              <w:t xml:space="preserve"> процеси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и получените от тях продукти и услуги </w:t>
            </w:r>
            <w:r>
              <w:rPr>
                <w:sz w:val="22"/>
                <w:lang w:val="bg-BG"/>
              </w:rPr>
              <w:t>чрез отчитане на</w:t>
            </w:r>
            <w:r>
              <w:rPr>
                <w:sz w:val="22"/>
              </w:rPr>
              <w:t xml:space="preserve"> политик</w:t>
            </w:r>
            <w:r>
              <w:rPr>
                <w:sz w:val="22"/>
                <w:lang w:val="bg-BG"/>
              </w:rPr>
              <w:t>ата</w:t>
            </w:r>
            <w:r>
              <w:rPr>
                <w:sz w:val="22"/>
              </w:rPr>
              <w:t>, цели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>, изисквания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и планираните дейности</w:t>
            </w:r>
            <w:r>
              <w:rPr>
                <w:sz w:val="22"/>
                <w:lang w:val="bg-BG"/>
              </w:rPr>
              <w:t>.</w:t>
            </w:r>
          </w:p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57" w:hRule="atLeast"/>
        </w:trPr>
        <w:tc>
          <w:tcPr>
            <w:tcW w:w="1416" w:type="dxa"/>
            <w:tcBorders/>
          </w:tcPr>
          <w:p>
            <w:pPr>
              <w:pStyle w:val="Normal"/>
              <w:ind w:end="-108"/>
              <w:jc w:val="both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Действие (А)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Предприемане на</w:t>
            </w:r>
            <w:r>
              <w:rPr>
                <w:sz w:val="22"/>
              </w:rPr>
              <w:t xml:space="preserve"> действия за подобряване на производителността</w:t>
            </w:r>
            <w:r>
              <w:rPr>
                <w:sz w:val="22"/>
                <w:lang w:val="bg-BG"/>
              </w:rPr>
              <w:t>.</w:t>
            </w:r>
          </w:p>
        </w:tc>
      </w:tr>
    </w:tbl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Мислене, основано на риска</w:t>
      </w:r>
    </w:p>
    <w:p>
      <w:pPr>
        <w:pStyle w:val="Normal"/>
        <w:jc w:val="both"/>
        <w:rPr>
          <w:rFonts w:ascii="Cambria-Bold;Times New Roman" w:hAnsi="Cambria-Bold;Times New Roman" w:cs="Cambria-Bold;Times New Roman"/>
          <w:b/>
          <w:color w:val="000000"/>
          <w:sz w:val="22"/>
          <w:u w:val="single"/>
          <w:lang w:val="bg-BG" w:eastAsia="en-US"/>
        </w:rPr>
      </w:pPr>
      <w:r>
        <w:rPr>
          <w:rFonts w:cs="Cambria-Bold;Times New Roman" w:ascii="Cambria-Bold;Times New Roman" w:hAnsi="Cambria-Bold;Times New Roman"/>
          <w:b/>
          <w:color w:val="000000"/>
          <w:sz w:val="22"/>
          <w:u w:val="single"/>
          <w:lang w:val="bg-BG" w:eastAsia="en-US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Риск е ефектът на несигурност, и всяка такава несигурност може да има положителни или отрицателни ефекти. </w:t>
      </w:r>
      <w:r>
        <w:rPr>
          <w:sz w:val="22"/>
          <w:lang w:val="bg-BG"/>
        </w:rPr>
        <w:t>Мисленето, основано на риска и</w:t>
      </w:r>
      <w:r>
        <w:rPr>
          <w:sz w:val="22"/>
        </w:rPr>
        <w:t xml:space="preserve"> е от съществено значение за изграждането на ефективна </w:t>
      </w:r>
      <w:r>
        <w:rPr>
          <w:sz w:val="22"/>
          <w:lang w:val="bg-BG"/>
        </w:rPr>
        <w:t xml:space="preserve">интегрирана </w:t>
      </w:r>
      <w:r>
        <w:rPr>
          <w:sz w:val="22"/>
        </w:rPr>
        <w:t>система за управление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За да отговаря на изискванията на </w:t>
      </w:r>
      <w:r>
        <w:rPr>
          <w:sz w:val="22"/>
          <w:lang w:val="bg-BG"/>
        </w:rPr>
        <w:t xml:space="preserve">стандарт </w:t>
      </w:r>
      <w:r>
        <w:rPr>
          <w:sz w:val="22"/>
        </w:rPr>
        <w:t>ISO 9001:201</w:t>
      </w:r>
      <w:r>
        <w:rPr>
          <w:sz w:val="22"/>
          <w:lang w:val="bg-BG"/>
        </w:rPr>
        <w:t xml:space="preserve">5 и </w:t>
      </w:r>
      <w:r>
        <w:rPr>
          <w:sz w:val="22"/>
        </w:rPr>
        <w:t xml:space="preserve">ISO </w:t>
      </w:r>
      <w:r>
        <w:rPr>
          <w:sz w:val="22"/>
          <w:lang w:val="bg-BG"/>
        </w:rPr>
        <w:t>14</w:t>
      </w:r>
      <w:r>
        <w:rPr>
          <w:sz w:val="22"/>
        </w:rPr>
        <w:t>001:2015, нашата организация трябва да планира и реализира действията за справяне с рискове</w:t>
      </w:r>
      <w:r>
        <w:rPr>
          <w:sz w:val="22"/>
          <w:lang w:val="bg-BG"/>
        </w:rPr>
        <w:t>те.</w:t>
      </w:r>
    </w:p>
    <w:p>
      <w:pPr>
        <w:pStyle w:val="Normal"/>
        <w:jc w:val="both"/>
        <w:rPr/>
      </w:pPr>
      <w:r>
        <w:rPr>
          <w:sz w:val="22"/>
        </w:rPr>
        <w:t>Посрещане</w:t>
      </w:r>
      <w:r>
        <w:rPr>
          <w:sz w:val="22"/>
          <w:lang w:val="bg-BG"/>
        </w:rPr>
        <w:t>то на</w:t>
      </w:r>
      <w:r>
        <w:rPr>
          <w:sz w:val="22"/>
        </w:rPr>
        <w:t xml:space="preserve"> рискове</w:t>
      </w:r>
      <w:r>
        <w:rPr>
          <w:sz w:val="22"/>
          <w:lang w:val="bg-BG"/>
        </w:rPr>
        <w:t>те</w:t>
      </w:r>
      <w:r>
        <w:rPr>
          <w:sz w:val="22"/>
        </w:rPr>
        <w:t xml:space="preserve"> и възможности</w:t>
      </w:r>
      <w:r>
        <w:rPr>
          <w:sz w:val="22"/>
          <w:lang w:val="bg-BG"/>
        </w:rPr>
        <w:t>те</w:t>
      </w:r>
      <w:r>
        <w:rPr>
          <w:sz w:val="22"/>
        </w:rPr>
        <w:t xml:space="preserve"> създава основа за повишаване на ефективността на </w:t>
      </w:r>
      <w:r>
        <w:rPr>
          <w:sz w:val="22"/>
          <w:lang w:val="bg-BG"/>
        </w:rPr>
        <w:t xml:space="preserve">интегриранат </w:t>
      </w:r>
      <w:r>
        <w:rPr>
          <w:sz w:val="22"/>
        </w:rPr>
        <w:t>система за управление, като се постигат по-добри резултати и предотвратяване на негативните ефекти.</w:t>
      </w:r>
    </w:p>
    <w:p>
      <w:pPr>
        <w:pStyle w:val="Normal"/>
        <w:jc w:val="both"/>
        <w:rPr/>
      </w:pPr>
      <w:r>
        <w:rPr>
          <w:sz w:val="22"/>
        </w:rPr>
        <w:t>Възможности</w:t>
      </w:r>
      <w:r>
        <w:rPr>
          <w:sz w:val="22"/>
          <w:lang w:val="bg-BG"/>
        </w:rPr>
        <w:t>те</w:t>
      </w:r>
      <w:r>
        <w:rPr>
          <w:sz w:val="22"/>
        </w:rPr>
        <w:t xml:space="preserve"> могат да възникнат в резултат на ситуация, благоприятна за постигане на желания резултат.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>Действия</w:t>
      </w:r>
      <w:r>
        <w:rPr>
          <w:sz w:val="22"/>
          <w:lang w:val="bg-BG"/>
        </w:rPr>
        <w:t xml:space="preserve">та </w:t>
      </w:r>
      <w:r>
        <w:rPr>
          <w:sz w:val="22"/>
        </w:rPr>
        <w:t>могат да включват разглеждане на свързаните с тях рискове. Положителн</w:t>
      </w:r>
      <w:r>
        <w:rPr>
          <w:sz w:val="22"/>
          <w:lang w:val="bg-BG"/>
        </w:rPr>
        <w:t>ите</w:t>
      </w:r>
      <w:r>
        <w:rPr>
          <w:sz w:val="22"/>
        </w:rPr>
        <w:t xml:space="preserve"> отклонени</w:t>
      </w:r>
      <w:r>
        <w:rPr>
          <w:sz w:val="22"/>
          <w:lang w:val="bg-BG"/>
        </w:rPr>
        <w:t>я</w:t>
      </w:r>
      <w:r>
        <w:rPr>
          <w:sz w:val="22"/>
        </w:rPr>
        <w:t>, произтичащи от риск</w:t>
      </w:r>
      <w:r>
        <w:rPr>
          <w:sz w:val="22"/>
          <w:lang w:val="bg-BG"/>
        </w:rPr>
        <w:t>а</w:t>
      </w:r>
      <w:r>
        <w:rPr>
          <w:sz w:val="22"/>
        </w:rPr>
        <w:t xml:space="preserve"> мо</w:t>
      </w:r>
      <w:r>
        <w:rPr>
          <w:sz w:val="22"/>
          <w:lang w:val="bg-BG"/>
        </w:rPr>
        <w:t>гат</w:t>
      </w:r>
      <w:r>
        <w:rPr>
          <w:sz w:val="22"/>
        </w:rPr>
        <w:t xml:space="preserve"> да осигур</w:t>
      </w:r>
      <w:r>
        <w:rPr>
          <w:sz w:val="22"/>
          <w:lang w:val="bg-BG"/>
        </w:rPr>
        <w:t>ят</w:t>
      </w:r>
      <w:r>
        <w:rPr>
          <w:sz w:val="22"/>
        </w:rPr>
        <w:t xml:space="preserve"> възможност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>Нашата организация разбира важността на Процес</w:t>
      </w:r>
      <w:r>
        <w:rPr>
          <w:sz w:val="22"/>
          <w:lang w:val="bg-BG"/>
        </w:rPr>
        <w:t>ния</w:t>
      </w:r>
      <w:r>
        <w:rPr>
          <w:sz w:val="22"/>
        </w:rPr>
        <w:t xml:space="preserve"> подход, PDCA цикъл</w:t>
      </w:r>
      <w:r>
        <w:rPr>
          <w:sz w:val="22"/>
          <w:lang w:val="bg-BG"/>
        </w:rPr>
        <w:t>а и мисленето, основано на риска. Всичко това</w:t>
      </w:r>
      <w:r>
        <w:rPr>
          <w:sz w:val="22"/>
        </w:rPr>
        <w:t xml:space="preserve"> ни помага при планирането на </w:t>
      </w:r>
      <w:r>
        <w:rPr>
          <w:sz w:val="22"/>
          <w:lang w:val="bg-BG"/>
        </w:rPr>
        <w:t>ИСУ</w:t>
      </w:r>
      <w:r>
        <w:rPr>
          <w:sz w:val="22"/>
        </w:rPr>
        <w:t xml:space="preserve"> и провеждане на прегледи от ръководството.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lang w:val="bg-BG"/>
        </w:rPr>
      </w:pPr>
      <w:r>
        <w:rPr>
          <w:b/>
          <w:sz w:val="22"/>
          <w:u w:val="single"/>
          <w:lang w:val="bg-BG"/>
        </w:rPr>
        <w:t>ПРЕПРАТКИ:</w:t>
      </w:r>
    </w:p>
    <w:p>
      <w:pPr>
        <w:pStyle w:val="Normal"/>
        <w:jc w:val="both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0.3 : </w:t>
      </w:r>
      <w:r>
        <w:rPr>
          <w:sz w:val="22"/>
          <w:lang w:val="bg-BG"/>
        </w:rPr>
        <w:t>Процесен подход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 xml:space="preserve">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0.3 : </w:t>
      </w:r>
      <w:r>
        <w:rPr>
          <w:sz w:val="22"/>
          <w:lang w:val="bg-BG"/>
        </w:rPr>
        <w:t>Систематичен подход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 xml:space="preserve">MR-Q-M-PR-01 : </w:t>
      </w:r>
      <w:r>
        <w:rPr>
          <w:sz w:val="22"/>
          <w:lang w:val="bg-BG"/>
        </w:rPr>
        <w:t>Процедура за преглед на ръководството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/>
      </w:pPr>
      <w:r>
        <w:rPr>
          <w:b/>
          <w:sz w:val="22"/>
          <w:u w:val="single"/>
          <w:lang w:val="bg-BG"/>
        </w:rPr>
        <w:t>ИСТОРИЯ НА ДОКУМЕНТА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067"/>
        <w:gridCol w:w="1560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 xml:space="preserve">Версия </w:t>
            </w:r>
          </w:p>
        </w:tc>
        <w:tc>
          <w:tcPr>
            <w:tcW w:w="5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от: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5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sectPr>
      <w:headerReference w:type="default" r:id="rId3"/>
      <w:footerReference w:type="default" r:id="rId4"/>
      <w:type w:val="nextPage"/>
      <w:pgSz w:w="11906" w:h="16838"/>
      <w:pgMar w:left="1418" w:right="567" w:gutter="0" w:header="708" w:top="2700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mbria-Bold">
    <w:altName w:val="Times New Roman"/>
    <w:charset w:val="00" w:characterSet="windows-1252"/>
    <w:family w:val="roman"/>
    <w:pitch w:val="default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00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955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</w:rPr>
          </w:pPr>
          <w:r>
            <w:rPr>
              <w:sz w:val="22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Версия: 001</w:t>
          </w:r>
        </w:p>
      </w:tc>
    </w:tr>
    <w:tr>
      <w:trPr>
        <w:trHeight w:val="418" w:hRule="atLeast"/>
      </w:trPr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Дата на утвърждаване: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</w:rPr>
          </w:pPr>
          <w:r>
            <w:rPr>
              <w:sz w:val="22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95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/>
            </w:rPr>
            <w:t xml:space="preserve">Стр. </w:t>
          </w:r>
          <w:r>
            <w:rPr>
              <w:sz w:val="22"/>
              <w:lang w:val="bg-BG"/>
            </w:rPr>
            <w:fldChar w:fldCharType="begin"/>
          </w:r>
          <w:r>
            <w:rPr>
              <w:sz w:val="22"/>
              <w:lang w:val="bg-BG"/>
            </w:rPr>
            <w:instrText xml:space="preserve"> PAGE </w:instrText>
          </w:r>
          <w:r>
            <w:rPr>
              <w:sz w:val="22"/>
              <w:lang w:val="bg-BG"/>
            </w:rPr>
            <w:fldChar w:fldCharType="separate"/>
          </w:r>
          <w:r>
            <w:rPr>
              <w:sz w:val="22"/>
              <w:lang w:val="bg-BG"/>
            </w:rPr>
            <w:t>3</w:t>
          </w:r>
          <w:r>
            <w:rPr>
              <w:sz w:val="22"/>
              <w:lang w:val="bg-BG"/>
            </w:rPr>
            <w:fldChar w:fldCharType="end"/>
          </w:r>
          <w:r>
            <w:rPr>
              <w:sz w:val="22"/>
              <w:lang w:val="bg-BG"/>
            </w:rPr>
            <w:t xml:space="preserve"> от 3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-292100</wp:posOffset>
              </wp:positionV>
              <wp:extent cx="6318250" cy="1323340"/>
              <wp:effectExtent l="0" t="0" r="0" b="0"/>
              <wp:wrapNone/>
              <wp:docPr id="5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2334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20130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highlight w:val="yellow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color w:val="FF0000"/>
                                    <w:sz w:val="32"/>
                                  </w:rPr>
                                  <w:t>ABC COMPANY LIMITED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color w:val="FF0000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color w:val="FF0000"/>
                                    <w:sz w:val="16"/>
                                  </w:rPr>
                                </w:r>
                              </w:p>
                            </w:tc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QUALITY MANAGEMENT SYSTEM MANUAL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</w:tc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 xml:space="preserve">МОДЕЛ НА СИСТЕМАТА ЗА УПРАВЛЕНИЕ 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4.2pt;mso-wrap-distance-left:9.05pt;mso-wrap-distance-right:9.05pt;mso-wrap-distance-top:0pt;mso-wrap-distance-bottom:0pt;margin-top:-23pt;mso-position-vertical-relative:text;margin-left:0.75pt;mso-position-horizontal-relative:text">
              <v:textbox>
                <w:txbxContent>
                  <w:tbl>
                    <w:tblPr>
                      <w:tblW w:w="20130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highlight w:val="yellow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color w:val="FF0000"/>
                              <w:sz w:val="32"/>
                            </w:rPr>
                            <w:t>ABC COMPANY LIMITED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color w:val="FF0000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color w:val="FF0000"/>
                              <w:sz w:val="16"/>
                            </w:rPr>
                          </w:r>
                        </w:p>
                      </w:tc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QUALITY MANAGEMENT SYSTEM MANUAL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</w:tc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jc w:val="center"/>
                      <w:rPr>
                        <w:b/>
                        <w:sz w:val="28"/>
                        <w:lang w:val="bg-BG"/>
                      </w:rPr>
                    </w:pPr>
                    <w:r>
                      <w:rPr>
                        <w:b/>
                        <w:sz w:val="28"/>
                        <w:lang w:val="bg-BG"/>
                      </w:rPr>
                      <w:t xml:space="preserve">МОДЕЛ НА СИСТЕМАТА ЗА УПРАВЛЕНИЕ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2015-10-28T23:22:00Z</dcterms:created>
  <dc:creator>ws</dc:creator>
  <dc:description/>
  <cp:keywords/>
  <dc:language>bg-BG</dc:language>
  <cp:lastModifiedBy>Nikolay Trayanov</cp:lastModifiedBy>
  <cp:lastPrinted>2002-05-10T13:17:00Z</cp:lastPrinted>
  <dcterms:modified xsi:type="dcterms:W3CDTF">2023-07-11T14:34:00Z</dcterms:modified>
  <cp:revision>28</cp:revision>
  <dc:subject/>
  <dc:title>1</dc:title>
</cp:coreProperties>
</file>