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>
          <w:u w:val="single"/>
          <w:lang w:val="bg-BG"/>
        </w:rPr>
      </w:pPr>
      <w:r>
        <w:rPr>
          <w:u w:val="single"/>
        </w:rPr>
        <w:t xml:space="preserve">A. </w:t>
      </w:r>
      <w:r>
        <w:rPr>
          <w:u w:val="single"/>
          <w:lang w:val="bg-BG"/>
        </w:rPr>
        <w:t>Разбиране на Организацията и нейния контекст</w:t>
      </w:r>
    </w:p>
    <w:p>
      <w:pPr>
        <w:pStyle w:val="Normal"/>
        <w:rPr>
          <w:color w:val="000000"/>
          <w:sz w:val="22"/>
          <w:u w:val="single"/>
          <w:lang w:val="bg-BG"/>
        </w:rPr>
      </w:pPr>
      <w:r>
        <w:rPr>
          <w:color w:val="000000"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sz w:val="22"/>
          <w:lang w:val="bg-BG" w:eastAsia="en-US"/>
        </w:rPr>
        <w:t>„</w:t>
      </w:r>
      <w:r>
        <w:rPr>
          <w:sz w:val="22"/>
          <w:lang w:val="bg-BG" w:eastAsia="en-US"/>
        </w:rPr>
        <w:t xml:space="preserve">Братя Панчеви“ ООД </w:t>
      </w:r>
      <w:r>
        <w:rPr>
          <w:color w:val="000000"/>
          <w:sz w:val="22"/>
          <w:lang w:eastAsia="en-US"/>
        </w:rPr>
        <w:t xml:space="preserve">има </w:t>
      </w:r>
      <w:r>
        <w:rPr>
          <w:color w:val="000000"/>
          <w:sz w:val="22"/>
          <w:lang w:val="bg-BG" w:eastAsia="en-US"/>
        </w:rPr>
        <w:t>въведена интегрирана система</w:t>
      </w:r>
      <w:r>
        <w:rPr>
          <w:color w:val="000000"/>
          <w:sz w:val="22"/>
          <w:lang w:eastAsia="en-US"/>
        </w:rPr>
        <w:t xml:space="preserve"> (постигнат</w:t>
      </w:r>
      <w:r>
        <w:rPr>
          <w:color w:val="000000"/>
          <w:sz w:val="22"/>
          <w:lang w:val="bg-BG" w:eastAsia="en-US"/>
        </w:rPr>
        <w:t>а</w:t>
      </w:r>
      <w:r>
        <w:rPr>
          <w:color w:val="000000"/>
          <w:sz w:val="22"/>
          <w:lang w:eastAsia="en-US"/>
        </w:rPr>
        <w:t xml:space="preserve"> чрез  планиране, </w:t>
      </w:r>
      <w:r>
        <w:rPr>
          <w:color w:val="000000"/>
          <w:sz w:val="22"/>
          <w:lang w:val="bg-BG" w:eastAsia="en-US"/>
        </w:rPr>
        <w:t>о</w:t>
      </w:r>
      <w:r>
        <w:rPr>
          <w:color w:val="000000"/>
          <w:sz w:val="22"/>
          <w:lang w:eastAsia="en-US"/>
        </w:rPr>
        <w:t>дити и</w:t>
      </w:r>
      <w:r>
        <w:rPr>
          <w:color w:val="000000"/>
          <w:sz w:val="22"/>
          <w:lang w:val="bg-BG" w:eastAsia="en-US"/>
        </w:rPr>
        <w:t xml:space="preserve"> преглед на ръководството</w:t>
      </w:r>
      <w:r>
        <w:rPr>
          <w:color w:val="000000"/>
          <w:sz w:val="22"/>
          <w:lang w:eastAsia="en-US"/>
        </w:rPr>
        <w:t xml:space="preserve">) за определяне на външни и вътрешни въпроси, които са свързани с </w:t>
      </w:r>
      <w:r>
        <w:rPr>
          <w:color w:val="000000"/>
          <w:sz w:val="22"/>
          <w:lang w:val="bg-BG" w:eastAsia="en-US"/>
        </w:rPr>
        <w:t>нейното развитие</w:t>
      </w:r>
      <w:r>
        <w:rPr>
          <w:color w:val="000000"/>
          <w:sz w:val="22"/>
          <w:lang w:eastAsia="en-US"/>
        </w:rPr>
        <w:t xml:space="preserve"> и стратегическа</w:t>
      </w:r>
      <w:r>
        <w:rPr>
          <w:color w:val="000000"/>
          <w:sz w:val="22"/>
          <w:lang w:val="bg-BG" w:eastAsia="en-US"/>
        </w:rPr>
        <w:t xml:space="preserve">та </w:t>
      </w:r>
      <w:r>
        <w:rPr>
          <w:color w:val="000000"/>
          <w:sz w:val="22"/>
          <w:lang w:eastAsia="en-US"/>
        </w:rPr>
        <w:t>посок</w:t>
      </w:r>
      <w:r>
        <w:rPr>
          <w:color w:val="000000"/>
          <w:sz w:val="22"/>
          <w:lang w:val="bg-BG" w:eastAsia="en-US"/>
        </w:rPr>
        <w:t>а. Интегрираната система оказва влияние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 xml:space="preserve">върху </w:t>
      </w:r>
      <w:r>
        <w:rPr>
          <w:color w:val="000000"/>
          <w:sz w:val="22"/>
          <w:lang w:eastAsia="en-US"/>
        </w:rPr>
        <w:t xml:space="preserve">способността </w:t>
      </w:r>
      <w:r>
        <w:rPr>
          <w:color w:val="000000"/>
          <w:sz w:val="22"/>
          <w:lang w:val="bg-BG" w:eastAsia="en-US"/>
        </w:rPr>
        <w:t>на Организацията</w:t>
      </w:r>
      <w:r>
        <w:rPr>
          <w:color w:val="000000"/>
          <w:sz w:val="22"/>
          <w:lang w:eastAsia="en-US"/>
        </w:rPr>
        <w:t xml:space="preserve"> да постигне планиран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>т</w:t>
      </w:r>
      <w:r>
        <w:rPr>
          <w:color w:val="000000"/>
          <w:sz w:val="22"/>
          <w:lang w:val="bg-BG" w:eastAsia="en-US"/>
        </w:rPr>
        <w:t>е</w:t>
      </w:r>
      <w:r>
        <w:rPr>
          <w:color w:val="000000"/>
          <w:sz w:val="22"/>
          <w:lang w:eastAsia="en-US"/>
        </w:rPr>
        <w:t xml:space="preserve"> резултат</w:t>
      </w:r>
      <w:r>
        <w:rPr>
          <w:color w:val="000000"/>
          <w:sz w:val="22"/>
          <w:lang w:val="bg-BG" w:eastAsia="en-US"/>
        </w:rPr>
        <w:t>и.</w:t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val="bg-BG" w:eastAsia="en-US"/>
        </w:rPr>
        <w:t>Въпросите</w:t>
      </w:r>
      <w:r>
        <w:rPr>
          <w:color w:val="000000"/>
          <w:sz w:val="22"/>
          <w:lang w:eastAsia="en-US"/>
        </w:rPr>
        <w:t xml:space="preserve"> могат да включват положителни и отрицателни фактори или условия за разглеждане.</w:t>
      </w:r>
      <w:r>
        <w:rPr>
          <w:color w:val="000000"/>
          <w:sz w:val="22"/>
          <w:lang w:val="bg-BG" w:eastAsia="en-US"/>
        </w:rPr>
        <w:t xml:space="preserve"> К</w:t>
      </w:r>
      <w:r>
        <w:rPr>
          <w:color w:val="000000"/>
          <w:sz w:val="22"/>
          <w:lang w:eastAsia="en-US"/>
        </w:rPr>
        <w:t xml:space="preserve">онтекста </w:t>
      </w:r>
      <w:r>
        <w:rPr>
          <w:color w:val="000000"/>
          <w:sz w:val="22"/>
          <w:lang w:val="bg-BG" w:eastAsia="en-US"/>
        </w:rPr>
        <w:t xml:space="preserve">на Организацията </w:t>
      </w:r>
      <w:r>
        <w:rPr>
          <w:color w:val="000000"/>
          <w:sz w:val="22"/>
          <w:lang w:eastAsia="en-US"/>
        </w:rPr>
        <w:t xml:space="preserve">може да се промени с течение на времето. </w:t>
      </w:r>
      <w:r>
        <w:rPr>
          <w:sz w:val="22"/>
          <w:lang w:eastAsia="en-US"/>
        </w:rPr>
        <w:t>Затова нашата организация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>извършва мониторинг и преглед</w:t>
      </w:r>
      <w:r>
        <w:rPr>
          <w:color w:val="000000"/>
          <w:sz w:val="22"/>
          <w:lang w:eastAsia="en-US"/>
        </w:rPr>
        <w:t xml:space="preserve"> за тези външни и вътрешни въпроси и</w:t>
      </w:r>
      <w:r>
        <w:rPr>
          <w:color w:val="000000"/>
          <w:sz w:val="22"/>
          <w:lang w:val="bg-BG" w:eastAsia="en-US"/>
        </w:rPr>
        <w:t xml:space="preserve"> предприема</w:t>
      </w:r>
      <w:r>
        <w:rPr>
          <w:color w:val="000000"/>
          <w:sz w:val="22"/>
          <w:lang w:eastAsia="en-US"/>
        </w:rPr>
        <w:t xml:space="preserve"> необходимите промени</w:t>
      </w:r>
      <w:r>
        <w:rPr>
          <w:color w:val="000000"/>
          <w:sz w:val="22"/>
          <w:lang w:val="bg-BG" w:eastAsia="en-US"/>
        </w:rPr>
        <w:t>, които</w:t>
      </w:r>
      <w:r>
        <w:rPr>
          <w:color w:val="000000"/>
          <w:sz w:val="22"/>
          <w:lang w:eastAsia="en-US"/>
        </w:rPr>
        <w:t xml:space="preserve"> са засегнати в </w:t>
      </w:r>
      <w:r>
        <w:rPr>
          <w:color w:val="000000"/>
          <w:sz w:val="22"/>
          <w:lang w:val="bg-BG" w:eastAsia="en-US"/>
        </w:rPr>
        <w:t>изискванията на ИСУ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 </w:t>
      </w:r>
    </w:p>
    <w:p>
      <w:pPr>
        <w:pStyle w:val="Heading1"/>
        <w:ind w:hanging="0" w:start="0"/>
        <w:rPr>
          <w:u w:val="single"/>
          <w:lang w:val="bg-BG"/>
        </w:rPr>
      </w:pPr>
      <w:r>
        <w:rPr>
          <w:u w:val="single"/>
        </w:rPr>
        <w:t xml:space="preserve">A.1 </w:t>
      </w:r>
      <w:r>
        <w:rPr>
          <w:u w:val="single"/>
          <w:lang w:val="bg-BG"/>
        </w:rPr>
        <w:t>Установяване на външния контекст</w:t>
      </w:r>
    </w:p>
    <w:p>
      <w:pPr>
        <w:pStyle w:val="Normal"/>
        <w:rPr>
          <w:color w:val="000000"/>
          <w:sz w:val="22"/>
          <w:u w:val="single"/>
          <w:lang w:val="bg-BG" w:eastAsia="en-US"/>
        </w:rPr>
      </w:pPr>
      <w:r>
        <w:rPr>
          <w:color w:val="000000"/>
          <w:sz w:val="22"/>
          <w:u w:val="single"/>
          <w:lang w:val="bg-BG" w:eastAsia="en-US"/>
        </w:rPr>
      </w:r>
    </w:p>
    <w:p>
      <w:pPr>
        <w:pStyle w:val="Normal"/>
        <w:ind w:firstLine="720" w:end="0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Външният контекст е външната среда, в която организацията се стреми да постигне целите си.</w:t>
      </w:r>
    </w:p>
    <w:p>
      <w:pPr>
        <w:pStyle w:val="Normal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Разбиране на външния контекст </w:t>
      </w:r>
      <w:r>
        <w:rPr>
          <w:color w:val="000000"/>
          <w:sz w:val="22"/>
          <w:lang w:val="bg-BG" w:eastAsia="en-US"/>
        </w:rPr>
        <w:t>се</w:t>
      </w:r>
      <w:r>
        <w:rPr>
          <w:color w:val="000000"/>
          <w:sz w:val="22"/>
          <w:lang w:eastAsia="en-US"/>
        </w:rPr>
        <w:t xml:space="preserve"> улеснен</w:t>
      </w:r>
      <w:r>
        <w:rPr>
          <w:color w:val="000000"/>
          <w:sz w:val="22"/>
          <w:lang w:val="bg-BG" w:eastAsia="en-US"/>
        </w:rPr>
        <w:t>ява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>при</w:t>
      </w:r>
      <w:r>
        <w:rPr>
          <w:color w:val="000000"/>
          <w:sz w:val="22"/>
          <w:lang w:eastAsia="en-US"/>
        </w:rPr>
        <w:t xml:space="preserve"> обмисл</w:t>
      </w:r>
      <w:r>
        <w:rPr>
          <w:color w:val="000000"/>
          <w:sz w:val="22"/>
          <w:lang w:val="bg-BG" w:eastAsia="en-US"/>
        </w:rPr>
        <w:t>яне на</w:t>
      </w:r>
      <w:r>
        <w:rPr>
          <w:color w:val="000000"/>
          <w:sz w:val="22"/>
          <w:lang w:eastAsia="en-US"/>
        </w:rPr>
        <w:t xml:space="preserve"> въпроси, произтичащи от правни, технологични, конкурентни, пазарни, културни, социални и икономически условия, независимо дали </w:t>
      </w:r>
      <w:r>
        <w:rPr>
          <w:color w:val="000000"/>
          <w:sz w:val="22"/>
          <w:lang w:val="bg-BG" w:eastAsia="en-US"/>
        </w:rPr>
        <w:t xml:space="preserve">те са на </w:t>
      </w:r>
      <w:r>
        <w:rPr>
          <w:color w:val="000000"/>
          <w:sz w:val="22"/>
          <w:lang w:eastAsia="en-US"/>
        </w:rPr>
        <w:t>международно, национално, регионално или местно</w:t>
      </w:r>
      <w:r>
        <w:rPr>
          <w:color w:val="000000"/>
          <w:sz w:val="22"/>
          <w:lang w:val="bg-BG" w:eastAsia="en-US"/>
        </w:rPr>
        <w:t xml:space="preserve"> ниво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Heading1"/>
        <w:ind w:hanging="0" w:start="0"/>
        <w:rPr>
          <w:u w:val="single"/>
          <w:lang w:val="bg-BG"/>
        </w:rPr>
      </w:pPr>
      <w:r>
        <w:rPr>
          <w:u w:val="single"/>
        </w:rPr>
        <w:t xml:space="preserve">A.2 </w:t>
      </w:r>
      <w:r>
        <w:rPr>
          <w:u w:val="single"/>
          <w:lang w:val="bg-BG"/>
        </w:rPr>
        <w:t>Установяване на вътрешен контекст</w:t>
      </w:r>
    </w:p>
    <w:p>
      <w:pPr>
        <w:pStyle w:val="Normal"/>
        <w:rPr>
          <w:color w:val="000000"/>
          <w:sz w:val="22"/>
          <w:u w:val="single"/>
          <w:lang w:val="bg-BG" w:eastAsia="en-US"/>
        </w:rPr>
      </w:pPr>
      <w:r>
        <w:rPr>
          <w:color w:val="000000"/>
          <w:sz w:val="22"/>
          <w:u w:val="single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Вътрешният контекста е вътрешна среда, в която организацията се стреми да постигне целите си.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Разбиране на вътрешния контекст се улеснява </w:t>
      </w:r>
      <w:r>
        <w:rPr>
          <w:color w:val="000000"/>
          <w:sz w:val="22"/>
          <w:lang w:val="bg-BG" w:eastAsia="en-US"/>
        </w:rPr>
        <w:t>при обмисляне на</w:t>
      </w:r>
      <w:r>
        <w:rPr>
          <w:color w:val="000000"/>
          <w:sz w:val="22"/>
          <w:lang w:eastAsia="en-US"/>
        </w:rPr>
        <w:t xml:space="preserve"> въпросите, свързани с ценности, култура, знания и ефективността на </w:t>
      </w:r>
      <w:r>
        <w:rPr>
          <w:color w:val="000000"/>
          <w:sz w:val="22"/>
          <w:lang w:val="bg-BG" w:eastAsia="en-US"/>
        </w:rPr>
        <w:t>О</w:t>
      </w:r>
      <w:r>
        <w:rPr>
          <w:color w:val="000000"/>
          <w:sz w:val="22"/>
          <w:lang w:eastAsia="en-US"/>
        </w:rPr>
        <w:t>рганизацията.</w:t>
      </w:r>
    </w:p>
    <w:p>
      <w:pPr>
        <w:pStyle w:val="Normal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Heading1"/>
        <w:ind w:hanging="0" w:start="0"/>
        <w:rPr>
          <w:u w:val="single"/>
        </w:rPr>
      </w:pPr>
      <w:r>
        <w:rPr>
          <w:u w:val="single"/>
        </w:rPr>
        <w:t>B.  Разбирането на нуждите и очакванията на заинтересованите страни</w:t>
      </w:r>
    </w:p>
    <w:p>
      <w:pPr>
        <w:pStyle w:val="Normal"/>
        <w:rPr>
          <w:color w:val="000000"/>
          <w:sz w:val="22"/>
          <w:u w:val="single"/>
          <w:lang w:eastAsia="en-US"/>
        </w:rPr>
      </w:pPr>
      <w:r>
        <w:rPr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Благодарение на техния ефект или потенциален ефект върху способността на </w:t>
      </w:r>
      <w:r>
        <w:rPr>
          <w:color w:val="000000"/>
          <w:sz w:val="22"/>
          <w:lang w:val="bg-BG" w:eastAsia="en-US"/>
        </w:rPr>
        <w:t>О</w:t>
      </w:r>
      <w:r>
        <w:rPr>
          <w:color w:val="000000"/>
          <w:sz w:val="22"/>
          <w:lang w:eastAsia="en-US"/>
        </w:rPr>
        <w:t xml:space="preserve">рганизацията да предоставя продукти и услуги, които отговарят на </w:t>
      </w:r>
      <w:r>
        <w:rPr>
          <w:color w:val="000000"/>
          <w:sz w:val="22"/>
          <w:lang w:val="bg-BG" w:eastAsia="en-US"/>
        </w:rPr>
        <w:t xml:space="preserve">изискванията на </w:t>
      </w:r>
      <w:r>
        <w:rPr>
          <w:color w:val="000000"/>
          <w:sz w:val="22"/>
          <w:lang w:eastAsia="en-US"/>
        </w:rPr>
        <w:t xml:space="preserve">клиентите и приложимите законови и регулаторни изисквания, </w:t>
      </w:r>
      <w:r>
        <w:rPr>
          <w:sz w:val="22"/>
          <w:lang w:val="bg-BG" w:eastAsia="en-US"/>
        </w:rPr>
        <w:t xml:space="preserve">„Братя Панчеви“ ООД </w:t>
      </w:r>
      <w:r>
        <w:rPr>
          <w:color w:val="000000"/>
          <w:sz w:val="22"/>
          <w:lang w:eastAsia="en-US"/>
        </w:rPr>
        <w:t>ще определя</w:t>
      </w:r>
      <w:r>
        <w:rPr>
          <w:color w:val="000000"/>
          <w:sz w:val="22"/>
          <w:lang w:val="bg-BG" w:eastAsia="en-US"/>
        </w:rPr>
        <w:t xml:space="preserve"> периодично: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Заинтересованите страни, които са от значение за </w:t>
      </w:r>
      <w:r>
        <w:rPr>
          <w:color w:val="000000"/>
          <w:sz w:val="22"/>
          <w:lang w:val="bg-BG" w:eastAsia="en-US"/>
        </w:rPr>
        <w:t>интегрираната система;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Изискванията на тези заинтересовани страни, които са от значение за </w:t>
      </w:r>
      <w:r>
        <w:rPr>
          <w:color w:val="000000"/>
          <w:sz w:val="22"/>
          <w:lang w:val="bg-BG" w:eastAsia="en-US"/>
        </w:rPr>
        <w:t>интегрираната система.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Тези потребности и очаквания могат да се променят с течение на времето. </w:t>
      </w:r>
      <w:r>
        <w:rPr>
          <w:sz w:val="22"/>
          <w:lang w:eastAsia="en-US"/>
        </w:rPr>
        <w:t xml:space="preserve">Затова нашата организация </w:t>
      </w:r>
      <w:r>
        <w:rPr>
          <w:sz w:val="22"/>
          <w:lang w:val="bg-BG" w:eastAsia="en-US"/>
        </w:rPr>
        <w:t>извършва мониторинг и преглед на</w:t>
      </w:r>
      <w:r>
        <w:rPr>
          <w:sz w:val="22"/>
          <w:lang w:eastAsia="en-US"/>
        </w:rPr>
        <w:t xml:space="preserve"> информация</w:t>
      </w:r>
      <w:r>
        <w:rPr>
          <w:sz w:val="22"/>
          <w:lang w:val="bg-BG" w:eastAsia="en-US"/>
        </w:rPr>
        <w:t>та</w:t>
      </w:r>
      <w:r>
        <w:rPr>
          <w:sz w:val="22"/>
          <w:lang w:eastAsia="en-US"/>
        </w:rPr>
        <w:t xml:space="preserve"> за тези заинтересовани</w:t>
      </w:r>
      <w:r>
        <w:rPr>
          <w:color w:val="000000"/>
          <w:sz w:val="22"/>
          <w:lang w:eastAsia="en-US"/>
        </w:rPr>
        <w:t xml:space="preserve"> страни и съответните им изисквания по отношение на текуща база, и необходимите промени</w:t>
      </w:r>
      <w:r>
        <w:rPr>
          <w:color w:val="000000"/>
          <w:sz w:val="22"/>
          <w:lang w:val="bg-BG" w:eastAsia="en-US"/>
        </w:rPr>
        <w:t xml:space="preserve">, </w:t>
      </w:r>
      <w:r>
        <w:rPr>
          <w:color w:val="000000"/>
          <w:sz w:val="22"/>
          <w:lang w:eastAsia="en-US"/>
        </w:rPr>
        <w:t xml:space="preserve">засегнати в </w:t>
      </w:r>
      <w:r>
        <w:rPr>
          <w:color w:val="000000"/>
          <w:sz w:val="22"/>
          <w:lang w:val="bg-BG" w:eastAsia="en-US"/>
        </w:rPr>
        <w:t>изискванията на ИС</w:t>
      </w:r>
      <w:r>
        <w:rPr>
          <w:color w:val="000000"/>
          <w:sz w:val="22"/>
          <w:lang w:eastAsia="en-US"/>
        </w:rPr>
        <w:t>У.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Heading1"/>
        <w:ind w:hanging="0" w:start="0"/>
        <w:rPr>
          <w:u w:val="single"/>
          <w:lang w:val="bg-BG"/>
        </w:rPr>
      </w:pPr>
      <w:r>
        <w:rPr>
          <w:u w:val="single"/>
        </w:rPr>
        <w:t>C. Определяне на обхвата на системата за управление на качеството</w:t>
      </w:r>
      <w:r>
        <w:rPr>
          <w:u w:val="single"/>
          <w:lang w:val="bg-BG"/>
        </w:rPr>
        <w:t>, околната среда и здравословните и безопасни условия на труд</w:t>
      </w:r>
    </w:p>
    <w:p>
      <w:pPr>
        <w:pStyle w:val="Normal"/>
        <w:rPr>
          <w:u w:val="single"/>
          <w:lang w:val="bg-BG" w:eastAsia="en-US"/>
        </w:rPr>
      </w:pPr>
      <w:r>
        <w:rPr>
          <w:u w:val="single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Организацията е определил</w:t>
      </w:r>
      <w:r>
        <w:rPr>
          <w:color w:val="000000"/>
          <w:sz w:val="22"/>
          <w:lang w:val="bg-BG" w:eastAsia="en-US"/>
        </w:rPr>
        <w:t>а</w:t>
      </w:r>
      <w:r>
        <w:rPr>
          <w:color w:val="000000"/>
          <w:sz w:val="22"/>
          <w:lang w:eastAsia="en-US"/>
        </w:rPr>
        <w:t xml:space="preserve"> границите и приложимостта на </w:t>
      </w:r>
      <w:r>
        <w:rPr>
          <w:color w:val="000000"/>
          <w:sz w:val="22"/>
          <w:lang w:val="bg-BG" w:eastAsia="en-US"/>
        </w:rPr>
        <w:t xml:space="preserve">интегрираната система с цел </w:t>
      </w:r>
      <w:r>
        <w:rPr>
          <w:color w:val="000000"/>
          <w:sz w:val="22"/>
          <w:lang w:eastAsia="en-US"/>
        </w:rPr>
        <w:t>установ</w:t>
      </w:r>
      <w:r>
        <w:rPr>
          <w:color w:val="000000"/>
          <w:sz w:val="22"/>
          <w:lang w:val="bg-BG" w:eastAsia="en-US"/>
        </w:rPr>
        <w:t>яване на</w:t>
      </w:r>
      <w:r>
        <w:rPr>
          <w:color w:val="000000"/>
          <w:sz w:val="22"/>
          <w:lang w:eastAsia="en-US"/>
        </w:rPr>
        <w:t xml:space="preserve"> нейното приложно поле.</w:t>
      </w:r>
    </w:p>
    <w:p>
      <w:pPr>
        <w:pStyle w:val="Normal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При определяне на този обхват, </w:t>
      </w:r>
      <w:r>
        <w:rPr>
          <w:sz w:val="22"/>
          <w:lang w:eastAsia="en-US"/>
        </w:rPr>
        <w:t xml:space="preserve">нашата организация </w:t>
      </w:r>
      <w:r>
        <w:rPr>
          <w:sz w:val="22"/>
          <w:lang w:val="bg-BG" w:eastAsia="en-US"/>
        </w:rPr>
        <w:t>отчита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Външни и вътрешни </w:t>
      </w:r>
      <w:r>
        <w:rPr>
          <w:color w:val="000000"/>
          <w:sz w:val="22"/>
          <w:lang w:val="bg-BG" w:eastAsia="en-US"/>
        </w:rPr>
        <w:t>процеси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eastAsia="en-US"/>
        </w:rPr>
        <w:t>- Изискванията на съответните заинтересовани страни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>- Продуктите и услугите на организацията.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val="bg-BG" w:eastAsia="en-US"/>
        </w:rPr>
        <w:t>- Нейните</w:t>
      </w:r>
      <w:r>
        <w:rPr>
          <w:color w:val="000000"/>
          <w:sz w:val="22"/>
          <w:lang w:eastAsia="en-US"/>
        </w:rPr>
        <w:t xml:space="preserve"> организационни звена, функции и физическите граници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val="bg-BG" w:eastAsia="en-US"/>
        </w:rPr>
        <w:t>- Нейният</w:t>
      </w:r>
      <w:r>
        <w:rPr>
          <w:color w:val="000000"/>
          <w:sz w:val="22"/>
          <w:lang w:eastAsia="en-US"/>
        </w:rPr>
        <w:t xml:space="preserve"> авторитет и способност да се упражнява контрол и влияние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Организацията е приложил</w:t>
      </w:r>
      <w:r>
        <w:rPr>
          <w:color w:val="000000"/>
          <w:sz w:val="22"/>
          <w:lang w:val="bg-BG" w:eastAsia="en-US"/>
        </w:rPr>
        <w:t>а</w:t>
      </w:r>
      <w:r>
        <w:rPr>
          <w:color w:val="000000"/>
          <w:sz w:val="22"/>
          <w:lang w:eastAsia="en-US"/>
        </w:rPr>
        <w:t xml:space="preserve"> тези изисквания на </w:t>
      </w:r>
      <w:r>
        <w:rPr>
          <w:color w:val="000000"/>
          <w:sz w:val="22"/>
          <w:lang w:val="bg-BG" w:eastAsia="en-US"/>
        </w:rPr>
        <w:t xml:space="preserve">Стандарт </w:t>
      </w:r>
      <w:r>
        <w:rPr>
          <w:color w:val="000000"/>
          <w:sz w:val="22"/>
          <w:lang w:eastAsia="en-US"/>
        </w:rPr>
        <w:t>ISO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>9001: 2015</w:t>
      </w:r>
      <w:r>
        <w:rPr>
          <w:color w:val="000000"/>
          <w:sz w:val="22"/>
          <w:lang w:val="bg-BG" w:eastAsia="en-US"/>
        </w:rPr>
        <w:t xml:space="preserve"> и </w:t>
      </w:r>
      <w:r>
        <w:rPr>
          <w:color w:val="000000"/>
          <w:sz w:val="22"/>
          <w:lang w:eastAsia="en-US"/>
        </w:rPr>
        <w:t>ISO 14001: 201</w:t>
      </w:r>
      <w:r>
        <w:rPr>
          <w:color w:val="000000"/>
          <w:sz w:val="22"/>
          <w:lang w:val="bg-BG" w:eastAsia="en-US"/>
        </w:rPr>
        <w:t>5</w:t>
      </w:r>
      <w:r>
        <w:rPr>
          <w:color w:val="000000"/>
          <w:sz w:val="22"/>
          <w:lang w:eastAsia="en-US"/>
        </w:rPr>
        <w:t xml:space="preserve">, които са приложими в рамките на определения обхват на </w:t>
      </w:r>
      <w:r>
        <w:rPr>
          <w:color w:val="000000"/>
          <w:sz w:val="22"/>
          <w:lang w:val="bg-BG" w:eastAsia="en-US"/>
        </w:rPr>
        <w:t>интегриранат</w:t>
      </w:r>
      <w:r>
        <w:rPr>
          <w:color w:val="000000"/>
          <w:sz w:val="22"/>
          <w:lang w:eastAsia="en-US"/>
        </w:rPr>
        <w:t>a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>система за управление.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val="bg-BG" w:eastAsia="en-US"/>
        </w:rPr>
        <w:t>О</w:t>
      </w:r>
      <w:r>
        <w:rPr>
          <w:color w:val="000000"/>
          <w:sz w:val="22"/>
          <w:lang w:eastAsia="en-US"/>
        </w:rPr>
        <w:t>бхват</w:t>
      </w:r>
      <w:r>
        <w:rPr>
          <w:color w:val="000000"/>
          <w:sz w:val="22"/>
          <w:lang w:val="bg-BG" w:eastAsia="en-US"/>
        </w:rPr>
        <w:t>ът</w:t>
      </w:r>
      <w:r>
        <w:rPr>
          <w:color w:val="000000"/>
          <w:sz w:val="22"/>
          <w:lang w:eastAsia="en-US"/>
        </w:rPr>
        <w:t xml:space="preserve"> на </w:t>
      </w:r>
      <w:r>
        <w:rPr>
          <w:color w:val="000000"/>
          <w:sz w:val="22"/>
          <w:lang w:val="bg-BG" w:eastAsia="en-US"/>
        </w:rPr>
        <w:t xml:space="preserve">интегрираната система </w:t>
      </w:r>
      <w:r>
        <w:rPr>
          <w:color w:val="000000"/>
          <w:sz w:val="22"/>
          <w:lang w:eastAsia="en-US"/>
        </w:rPr>
        <w:t xml:space="preserve">на </w:t>
      </w:r>
      <w:r>
        <w:rPr>
          <w:color w:val="000000"/>
          <w:sz w:val="22"/>
          <w:lang w:val="bg-BG" w:eastAsia="en-US"/>
        </w:rPr>
        <w:t>О</w:t>
      </w:r>
      <w:r>
        <w:rPr>
          <w:color w:val="000000"/>
          <w:sz w:val="22"/>
          <w:lang w:eastAsia="en-US"/>
        </w:rPr>
        <w:t>рганизацията се предоставя свободно и се поддържа като документирана информация.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val="bg-BG" w:eastAsia="en-US"/>
        </w:rPr>
        <w:t>В о</w:t>
      </w:r>
      <w:r>
        <w:rPr>
          <w:color w:val="000000"/>
          <w:sz w:val="22"/>
          <w:lang w:eastAsia="en-US"/>
        </w:rPr>
        <w:t>бхват</w:t>
      </w:r>
      <w:r>
        <w:rPr>
          <w:color w:val="000000"/>
          <w:sz w:val="22"/>
          <w:lang w:val="bg-BG" w:eastAsia="en-US"/>
        </w:rPr>
        <w:t>а</w:t>
      </w:r>
      <w:r>
        <w:rPr>
          <w:color w:val="000000"/>
          <w:sz w:val="22"/>
          <w:lang w:eastAsia="en-US"/>
        </w:rPr>
        <w:t xml:space="preserve"> се посочва</w:t>
      </w:r>
      <w:r>
        <w:rPr>
          <w:color w:val="000000"/>
          <w:sz w:val="22"/>
          <w:lang w:val="bg-BG" w:eastAsia="en-US"/>
        </w:rPr>
        <w:t>т</w:t>
      </w:r>
      <w:r>
        <w:rPr>
          <w:color w:val="000000"/>
          <w:sz w:val="22"/>
          <w:lang w:eastAsia="en-US"/>
        </w:rPr>
        <w:t xml:space="preserve"> видовете продукти и услуги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 xml:space="preserve">и обосновка за всяко изискване на </w:t>
      </w:r>
      <w:r>
        <w:rPr>
          <w:color w:val="000000"/>
          <w:sz w:val="22"/>
          <w:lang w:val="bg-BG" w:eastAsia="en-US"/>
        </w:rPr>
        <w:t xml:space="preserve">Стандарт </w:t>
      </w:r>
      <w:r>
        <w:rPr>
          <w:color w:val="000000"/>
          <w:sz w:val="22"/>
          <w:lang w:eastAsia="en-US"/>
        </w:rPr>
        <w:t>ISO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>9001:2015</w:t>
      </w:r>
      <w:r>
        <w:rPr>
          <w:color w:val="000000"/>
          <w:sz w:val="22"/>
          <w:lang w:val="bg-BG" w:eastAsia="en-US"/>
        </w:rPr>
        <w:t xml:space="preserve"> и </w:t>
      </w:r>
      <w:r>
        <w:rPr>
          <w:color w:val="000000"/>
          <w:sz w:val="22"/>
          <w:lang w:eastAsia="en-US"/>
        </w:rPr>
        <w:t xml:space="preserve">ISO 14001:2015, </w:t>
      </w:r>
      <w:r>
        <w:rPr>
          <w:color w:val="000000"/>
          <w:sz w:val="22"/>
          <w:lang w:val="bg-BG" w:eastAsia="en-US"/>
        </w:rPr>
        <w:t xml:space="preserve">с изключение на тези, </w:t>
      </w:r>
      <w:r>
        <w:rPr>
          <w:color w:val="000000"/>
          <w:sz w:val="22"/>
          <w:lang w:eastAsia="en-US"/>
        </w:rPr>
        <w:t>ко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 xml:space="preserve">то не </w:t>
      </w:r>
      <w:r>
        <w:rPr>
          <w:color w:val="000000"/>
          <w:sz w:val="22"/>
          <w:lang w:val="bg-BG" w:eastAsia="en-US"/>
        </w:rPr>
        <w:t>са</w:t>
      </w:r>
      <w:r>
        <w:rPr>
          <w:color w:val="000000"/>
          <w:sz w:val="22"/>
          <w:lang w:eastAsia="en-US"/>
        </w:rPr>
        <w:t xml:space="preserve"> приложим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 xml:space="preserve"> за обхвата на</w:t>
      </w:r>
      <w:r>
        <w:rPr>
          <w:color w:val="000000"/>
          <w:sz w:val="22"/>
          <w:lang w:val="bg-BG" w:eastAsia="en-US"/>
        </w:rPr>
        <w:t xml:space="preserve"> интегрираната</w:t>
      </w:r>
      <w:r>
        <w:rPr>
          <w:color w:val="000000"/>
          <w:sz w:val="22"/>
          <w:lang w:eastAsia="en-US"/>
        </w:rPr>
        <w:t xml:space="preserve"> система </w:t>
      </w:r>
      <w:r>
        <w:rPr>
          <w:color w:val="000000"/>
          <w:sz w:val="22"/>
          <w:lang w:val="bg-BG" w:eastAsia="en-US"/>
        </w:rPr>
        <w:t xml:space="preserve">в </w:t>
      </w:r>
      <w:r>
        <w:rPr>
          <w:sz w:val="22"/>
          <w:lang w:val="bg-BG" w:eastAsia="en-US"/>
        </w:rPr>
        <w:t>нашата организация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Дори и с изключването на някои от изискванията, </w:t>
      </w:r>
      <w:r>
        <w:rPr>
          <w:color w:val="000000"/>
          <w:sz w:val="22"/>
          <w:lang w:val="bg-BG" w:eastAsia="en-US"/>
        </w:rPr>
        <w:t xml:space="preserve">Организацията е в </w:t>
      </w:r>
      <w:r>
        <w:rPr>
          <w:color w:val="000000"/>
          <w:sz w:val="22"/>
          <w:lang w:eastAsia="en-US"/>
        </w:rPr>
        <w:t>съответствие с</w:t>
      </w:r>
      <w:r>
        <w:rPr>
          <w:color w:val="000000"/>
          <w:sz w:val="22"/>
          <w:lang w:val="bg-BG" w:eastAsia="en-US"/>
        </w:rPr>
        <w:t>ъс Стандарт</w:t>
      </w:r>
      <w:r>
        <w:rPr>
          <w:color w:val="000000"/>
          <w:sz w:val="22"/>
          <w:lang w:eastAsia="en-US"/>
        </w:rPr>
        <w:t xml:space="preserve"> ISO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>9001: 2015</w:t>
      </w:r>
      <w:r>
        <w:rPr>
          <w:color w:val="000000"/>
          <w:sz w:val="22"/>
          <w:lang w:val="bg-BG" w:eastAsia="en-US"/>
        </w:rPr>
        <w:t xml:space="preserve">, и </w:t>
      </w:r>
      <w:r>
        <w:rPr>
          <w:color w:val="000000"/>
          <w:sz w:val="22"/>
          <w:lang w:eastAsia="en-US"/>
        </w:rPr>
        <w:t>ISO 14001: 2015</w:t>
      </w:r>
      <w:r>
        <w:rPr>
          <w:color w:val="000000"/>
          <w:sz w:val="22"/>
          <w:lang w:val="bg-BG" w:eastAsia="en-US"/>
        </w:rPr>
        <w:t>,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>з</w:t>
      </w:r>
      <w:r>
        <w:rPr>
          <w:color w:val="000000"/>
          <w:sz w:val="22"/>
          <w:lang w:eastAsia="en-US"/>
        </w:rPr>
        <w:t>ащото изискванията, определени като н</w:t>
      </w:r>
      <w:r>
        <w:rPr>
          <w:color w:val="000000"/>
          <w:sz w:val="22"/>
          <w:lang w:val="bg-BG" w:eastAsia="en-US"/>
        </w:rPr>
        <w:t>е</w:t>
      </w:r>
      <w:r>
        <w:rPr>
          <w:color w:val="000000"/>
          <w:sz w:val="22"/>
          <w:lang w:eastAsia="en-US"/>
        </w:rPr>
        <w:t>приложим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>, не влияят на способността или отговорност</w:t>
      </w:r>
      <w:r>
        <w:rPr>
          <w:color w:val="000000"/>
          <w:sz w:val="22"/>
          <w:lang w:val="bg-BG" w:eastAsia="en-US"/>
        </w:rPr>
        <w:t>та</w:t>
      </w:r>
      <w:r>
        <w:rPr>
          <w:color w:val="000000"/>
          <w:sz w:val="22"/>
          <w:lang w:eastAsia="en-US"/>
        </w:rPr>
        <w:t xml:space="preserve"> на </w:t>
      </w:r>
      <w:r>
        <w:rPr>
          <w:color w:val="000000"/>
          <w:sz w:val="22"/>
          <w:lang w:val="bg-BG" w:eastAsia="en-US"/>
        </w:rPr>
        <w:t>О</w:t>
      </w:r>
      <w:r>
        <w:rPr>
          <w:color w:val="000000"/>
          <w:sz w:val="22"/>
          <w:lang w:eastAsia="en-US"/>
        </w:rPr>
        <w:t xml:space="preserve">рганизацията да гарантира съответствието на своите продукти и услуги и </w:t>
      </w:r>
      <w:r>
        <w:rPr>
          <w:color w:val="000000"/>
          <w:sz w:val="22"/>
          <w:lang w:val="bg-BG" w:eastAsia="en-US"/>
        </w:rPr>
        <w:t xml:space="preserve">да </w:t>
      </w:r>
      <w:r>
        <w:rPr>
          <w:color w:val="000000"/>
          <w:sz w:val="22"/>
          <w:lang w:eastAsia="en-US"/>
        </w:rPr>
        <w:t>повишава удовлетвореността на клиентите.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Heading1"/>
        <w:ind w:hanging="0" w:start="0"/>
        <w:rPr>
          <w:u w:val="single"/>
        </w:rPr>
      </w:pPr>
      <w:r>
        <w:rPr>
          <w:u w:val="single"/>
        </w:rPr>
        <w:t>D. Система за управление на качеството</w:t>
      </w:r>
      <w:r>
        <w:rPr>
          <w:u w:val="single"/>
          <w:lang w:val="bg-BG"/>
        </w:rPr>
        <w:t xml:space="preserve">, околната среда и здравословните и безопасни условия на труд </w:t>
      </w:r>
      <w:r>
        <w:rPr>
          <w:u w:val="single"/>
        </w:rPr>
        <w:t xml:space="preserve">и </w:t>
      </w:r>
      <w:r>
        <w:rPr>
          <w:u w:val="single"/>
          <w:lang w:val="bg-BG"/>
        </w:rPr>
        <w:t>техните</w:t>
      </w:r>
      <w:r>
        <w:rPr>
          <w:u w:val="single"/>
        </w:rPr>
        <w:t xml:space="preserve"> процеси</w:t>
      </w:r>
    </w:p>
    <w:p>
      <w:pPr>
        <w:pStyle w:val="Normal"/>
        <w:rPr>
          <w:color w:val="000000"/>
          <w:sz w:val="22"/>
          <w:u w:val="single"/>
          <w:lang w:eastAsia="en-US"/>
        </w:rPr>
      </w:pPr>
      <w:r>
        <w:rPr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 xml:space="preserve">В </w:t>
      </w:r>
      <w:r>
        <w:rPr>
          <w:sz w:val="22"/>
          <w:lang w:val="bg-BG" w:eastAsia="en-US"/>
        </w:rPr>
        <w:t>н</w:t>
      </w:r>
      <w:r>
        <w:rPr>
          <w:sz w:val="22"/>
          <w:lang w:eastAsia="en-US"/>
        </w:rPr>
        <w:t>ашата организация</w:t>
      </w:r>
      <w:r>
        <w:rPr>
          <w:color w:val="000000"/>
          <w:sz w:val="22"/>
          <w:lang w:eastAsia="en-US"/>
        </w:rPr>
        <w:t xml:space="preserve"> вече е създадена, внедрена</w:t>
      </w:r>
      <w:r>
        <w:rPr>
          <w:color w:val="000000"/>
          <w:sz w:val="22"/>
          <w:lang w:val="bg-BG" w:eastAsia="en-US"/>
        </w:rPr>
        <w:t xml:space="preserve">, </w:t>
      </w:r>
      <w:r>
        <w:rPr>
          <w:color w:val="000000"/>
          <w:sz w:val="22"/>
          <w:lang w:eastAsia="en-US"/>
        </w:rPr>
        <w:t>поддържа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>и непрекъснат</w:t>
      </w:r>
      <w:r>
        <w:rPr>
          <w:color w:val="000000"/>
          <w:sz w:val="22"/>
          <w:lang w:val="bg-BG" w:eastAsia="en-US"/>
        </w:rPr>
        <w:t>о се</w:t>
      </w:r>
      <w:r>
        <w:rPr>
          <w:color w:val="000000"/>
          <w:sz w:val="22"/>
          <w:lang w:eastAsia="en-US"/>
        </w:rPr>
        <w:t xml:space="preserve"> подобряв</w:t>
      </w:r>
      <w:r>
        <w:rPr>
          <w:color w:val="000000"/>
          <w:sz w:val="22"/>
          <w:lang w:val="bg-BG" w:eastAsia="en-US"/>
        </w:rPr>
        <w:t xml:space="preserve">а интегрирана </w:t>
      </w:r>
      <w:r>
        <w:rPr>
          <w:color w:val="000000"/>
          <w:sz w:val="22"/>
          <w:lang w:eastAsia="en-US"/>
        </w:rPr>
        <w:t xml:space="preserve">системата, включително </w:t>
      </w:r>
      <w:r>
        <w:rPr>
          <w:color w:val="000000"/>
          <w:sz w:val="22"/>
          <w:lang w:val="bg-BG" w:eastAsia="en-US"/>
        </w:rPr>
        <w:t xml:space="preserve">и </w:t>
      </w:r>
      <w:r>
        <w:rPr>
          <w:color w:val="000000"/>
          <w:sz w:val="22"/>
          <w:lang w:eastAsia="en-US"/>
        </w:rPr>
        <w:t xml:space="preserve">необходимите процеси и техните взаимодействия, в съответствие с изискванията на </w:t>
      </w:r>
      <w:r>
        <w:rPr>
          <w:color w:val="000000"/>
          <w:sz w:val="22"/>
          <w:lang w:val="bg-BG" w:eastAsia="en-US"/>
        </w:rPr>
        <w:t xml:space="preserve">Стандарт </w:t>
      </w:r>
      <w:r>
        <w:rPr>
          <w:color w:val="000000"/>
          <w:sz w:val="22"/>
          <w:lang w:eastAsia="en-US"/>
        </w:rPr>
        <w:t>ISO 9001: 2015</w:t>
      </w:r>
      <w:r>
        <w:rPr>
          <w:color w:val="000000"/>
          <w:sz w:val="22"/>
          <w:lang w:val="bg-BG" w:eastAsia="en-US"/>
        </w:rPr>
        <w:t xml:space="preserve"> и </w:t>
      </w:r>
      <w:r>
        <w:rPr>
          <w:color w:val="000000"/>
          <w:sz w:val="22"/>
          <w:lang w:eastAsia="en-US"/>
        </w:rPr>
        <w:t>ISO 14001: 201</w:t>
      </w:r>
      <w:r>
        <w:rPr>
          <w:color w:val="000000"/>
          <w:sz w:val="22"/>
          <w:lang w:val="bg-BG" w:eastAsia="en-US"/>
        </w:rPr>
        <w:t>5.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Организацията е установила, процесите, необходими за </w:t>
      </w:r>
      <w:r>
        <w:rPr>
          <w:color w:val="000000"/>
          <w:sz w:val="22"/>
          <w:lang w:val="bg-BG" w:eastAsia="en-US"/>
        </w:rPr>
        <w:t xml:space="preserve">интегрираната </w:t>
      </w:r>
      <w:r>
        <w:rPr>
          <w:color w:val="000000"/>
          <w:sz w:val="22"/>
          <w:lang w:eastAsia="en-US"/>
        </w:rPr>
        <w:t>системата за управление и тяхното прилагане в цялата организация.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Организацията </w:t>
      </w:r>
      <w:r>
        <w:rPr>
          <w:color w:val="000000"/>
          <w:sz w:val="22"/>
          <w:lang w:val="bg-BG" w:eastAsia="en-US"/>
        </w:rPr>
        <w:t xml:space="preserve">е определила, </w:t>
      </w:r>
      <w:r>
        <w:rPr>
          <w:color w:val="000000"/>
          <w:sz w:val="22"/>
          <w:lang w:eastAsia="en-US"/>
        </w:rPr>
        <w:t>също така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Н</w:t>
      </w:r>
      <w:r>
        <w:rPr>
          <w:color w:val="000000"/>
          <w:sz w:val="22"/>
          <w:lang w:eastAsia="en-US"/>
        </w:rPr>
        <w:t>еобходимите входове и изходи, очаквани от тези процеси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П</w:t>
      </w:r>
      <w:r>
        <w:rPr>
          <w:color w:val="000000"/>
          <w:sz w:val="22"/>
          <w:lang w:eastAsia="en-US"/>
        </w:rPr>
        <w:t>оследователността и взаимодействието на тези процеси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</w:t>
      </w:r>
      <w:r>
        <w:rPr>
          <w:color w:val="000000"/>
          <w:sz w:val="22"/>
          <w:lang w:val="bg-BG" w:eastAsia="en-US"/>
        </w:rPr>
        <w:t xml:space="preserve"> П</w:t>
      </w:r>
      <w:r>
        <w:rPr>
          <w:color w:val="000000"/>
          <w:sz w:val="22"/>
          <w:lang w:eastAsia="en-US"/>
        </w:rPr>
        <w:t>рилагане на критерии и методи (включително мониторинг, измервания и показатели за изпълнение), необходими за гарантиране на ефективното функциониране и контрол на тези процеси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</w:t>
      </w:r>
      <w:r>
        <w:rPr>
          <w:color w:val="000000"/>
          <w:sz w:val="22"/>
          <w:lang w:val="bg-BG" w:eastAsia="en-US"/>
        </w:rPr>
        <w:t xml:space="preserve"> С</w:t>
      </w:r>
      <w:r>
        <w:rPr>
          <w:color w:val="000000"/>
          <w:sz w:val="22"/>
          <w:lang w:eastAsia="en-US"/>
        </w:rPr>
        <w:t>редствата, необходими за тези процеси и гарантира</w:t>
      </w:r>
      <w:r>
        <w:rPr>
          <w:color w:val="000000"/>
          <w:sz w:val="22"/>
          <w:lang w:val="bg-BG" w:eastAsia="en-US"/>
        </w:rPr>
        <w:t>не на</w:t>
      </w:r>
      <w:r>
        <w:rPr>
          <w:color w:val="000000"/>
          <w:sz w:val="22"/>
          <w:lang w:eastAsia="en-US"/>
        </w:rPr>
        <w:t xml:space="preserve"> тяхната наличност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О</w:t>
      </w:r>
      <w:r>
        <w:rPr>
          <w:color w:val="000000"/>
          <w:sz w:val="22"/>
          <w:lang w:eastAsia="en-US"/>
        </w:rPr>
        <w:t xml:space="preserve">тговорностите и </w:t>
      </w:r>
      <w:r>
        <w:rPr>
          <w:color w:val="000000"/>
          <w:sz w:val="22"/>
          <w:lang w:val="bg-BG" w:eastAsia="en-US"/>
        </w:rPr>
        <w:t>задълженията</w:t>
      </w:r>
      <w:r>
        <w:rPr>
          <w:color w:val="000000"/>
          <w:sz w:val="22"/>
          <w:lang w:eastAsia="en-US"/>
        </w:rPr>
        <w:t xml:space="preserve"> за </w:t>
      </w:r>
      <w:r>
        <w:rPr>
          <w:color w:val="000000"/>
          <w:sz w:val="22"/>
          <w:lang w:val="bg-BG" w:eastAsia="en-US"/>
        </w:rPr>
        <w:t xml:space="preserve">изпълнение на </w:t>
      </w:r>
      <w:r>
        <w:rPr>
          <w:color w:val="000000"/>
          <w:sz w:val="22"/>
          <w:lang w:eastAsia="en-US"/>
        </w:rPr>
        <w:t>тези процеси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Справяне с рисковете и възможностите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Оценка на тези процеси и прилагане на всички </w:t>
      </w:r>
      <w:r>
        <w:rPr>
          <w:color w:val="000000"/>
          <w:sz w:val="22"/>
          <w:lang w:val="bg-BG" w:eastAsia="en-US"/>
        </w:rPr>
        <w:t xml:space="preserve">необходими </w:t>
      </w:r>
      <w:r>
        <w:rPr>
          <w:color w:val="000000"/>
          <w:sz w:val="22"/>
          <w:lang w:eastAsia="en-US"/>
        </w:rPr>
        <w:t xml:space="preserve">промени, </w:t>
      </w:r>
      <w:r>
        <w:rPr>
          <w:color w:val="000000"/>
          <w:sz w:val="22"/>
          <w:lang w:val="bg-BG" w:eastAsia="en-US"/>
        </w:rPr>
        <w:t>с цел</w:t>
      </w:r>
      <w:r>
        <w:rPr>
          <w:color w:val="000000"/>
          <w:sz w:val="22"/>
          <w:lang w:eastAsia="en-US"/>
        </w:rPr>
        <w:t xml:space="preserve"> да се гарантира, че тези процеси</w:t>
      </w:r>
      <w:r>
        <w:rPr>
          <w:color w:val="000000"/>
          <w:sz w:val="22"/>
          <w:lang w:val="bg-BG" w:eastAsia="en-US"/>
        </w:rPr>
        <w:t xml:space="preserve"> достигат предвидените </w:t>
      </w:r>
      <w:r>
        <w:rPr>
          <w:color w:val="000000"/>
          <w:sz w:val="22"/>
          <w:lang w:eastAsia="en-US"/>
        </w:rPr>
        <w:t>резултати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Подобряване на процесите </w:t>
      </w:r>
      <w:r>
        <w:rPr>
          <w:color w:val="000000"/>
          <w:sz w:val="22"/>
          <w:lang w:val="bg-BG" w:eastAsia="en-US"/>
        </w:rPr>
        <w:t xml:space="preserve">на </w:t>
      </w:r>
      <w:r>
        <w:rPr>
          <w:color w:val="000000"/>
          <w:sz w:val="22"/>
          <w:lang w:eastAsia="en-US"/>
        </w:rPr>
        <w:t>и</w:t>
      </w:r>
      <w:r>
        <w:rPr>
          <w:color w:val="000000"/>
          <w:sz w:val="22"/>
          <w:lang w:val="bg-BG" w:eastAsia="en-US"/>
        </w:rPr>
        <w:t>нтегрираната</w:t>
      </w:r>
      <w:r>
        <w:rPr>
          <w:color w:val="000000"/>
          <w:sz w:val="22"/>
          <w:lang w:eastAsia="en-US"/>
        </w:rPr>
        <w:t xml:space="preserve"> системата за управление 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Доколкото е необходимо, организацията </w:t>
      </w:r>
      <w:r>
        <w:rPr>
          <w:color w:val="000000"/>
          <w:sz w:val="22"/>
          <w:lang w:val="bg-BG" w:eastAsia="en-US"/>
        </w:rPr>
        <w:t>отговаря за:</w:t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- Поддържане на документирана информация в подкрепа на </w:t>
      </w:r>
      <w:r>
        <w:rPr>
          <w:color w:val="000000"/>
          <w:sz w:val="22"/>
          <w:lang w:val="bg-BG" w:eastAsia="en-US"/>
        </w:rPr>
        <w:t>изпълнението на</w:t>
      </w:r>
      <w:r>
        <w:rPr>
          <w:color w:val="000000"/>
          <w:sz w:val="22"/>
          <w:lang w:eastAsia="en-US"/>
        </w:rPr>
        <w:t xml:space="preserve"> процеси</w:t>
      </w:r>
      <w:r>
        <w:rPr>
          <w:color w:val="000000"/>
          <w:sz w:val="22"/>
          <w:lang w:val="bg-BG" w:eastAsia="en-US"/>
        </w:rPr>
        <w:t>те;</w:t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Съхранение на подкрепяща</w:t>
      </w:r>
      <w:r>
        <w:rPr>
          <w:color w:val="000000"/>
          <w:sz w:val="22"/>
          <w:lang w:eastAsia="en-US"/>
        </w:rPr>
        <w:t xml:space="preserve"> документирана информация</w:t>
      </w:r>
      <w:r>
        <w:rPr>
          <w:color w:val="000000"/>
          <w:sz w:val="22"/>
          <w:lang w:val="bg-BG" w:eastAsia="en-US"/>
        </w:rPr>
        <w:t>, за да се гарантира,</w:t>
      </w:r>
      <w:r>
        <w:rPr>
          <w:color w:val="000000"/>
          <w:sz w:val="22"/>
          <w:lang w:eastAsia="en-US"/>
        </w:rPr>
        <w:t xml:space="preserve"> че процесите се извършват както е планирано.</w:t>
      </w:r>
    </w:p>
    <w:p>
      <w:pPr>
        <w:pStyle w:val="Normal"/>
        <w:jc w:val="both"/>
        <w:rPr>
          <w:b/>
          <w:color w:val="000000"/>
          <w:sz w:val="22"/>
          <w:u w:val="single"/>
          <w:lang w:val="bg-BG" w:eastAsia="en-US"/>
        </w:rPr>
      </w:pPr>
      <w:r>
        <w:rPr>
          <w:b/>
          <w:color w:val="000000"/>
          <w:sz w:val="22"/>
          <w:u w:val="single"/>
          <w:lang w:val="bg-BG" w:eastAsia="en-US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 9001:2015 – </w:t>
      </w:r>
      <w:r>
        <w:rPr>
          <w:sz w:val="22"/>
          <w:lang w:val="bg-BG"/>
        </w:rPr>
        <w:t xml:space="preserve">Клауза </w:t>
      </w:r>
      <w:r>
        <w:rPr>
          <w:sz w:val="22"/>
        </w:rPr>
        <w:t xml:space="preserve">4.1 </w:t>
      </w:r>
      <w:r>
        <w:rPr>
          <w:sz w:val="22"/>
          <w:lang w:val="bg-BG"/>
        </w:rPr>
        <w:t>Разбиране на Организацията и нейният контекст</w:t>
      </w:r>
    </w:p>
    <w:p>
      <w:pPr>
        <w:pStyle w:val="Normal"/>
        <w:rPr>
          <w:u w:val="single"/>
        </w:rPr>
      </w:pPr>
      <w:r>
        <w:rPr>
          <w:sz w:val="22"/>
        </w:rPr>
        <w:t xml:space="preserve">             </w:t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</w:rPr>
        <w:t>Q</w:t>
      </w:r>
      <w:r>
        <w:rPr>
          <w:sz w:val="22"/>
          <w:lang w:val="bg-BG"/>
        </w:rPr>
        <w:t>Е</w:t>
      </w:r>
      <w:r>
        <w:rPr>
          <w:sz w:val="22"/>
        </w:rPr>
        <w:t xml:space="preserve">MR-Q-M-PR-01 : </w:t>
      </w:r>
      <w:r>
        <w:rPr>
          <w:color w:val="000000"/>
          <w:sz w:val="22"/>
        </w:rPr>
        <w:t>Процедура за преглед на ръководството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  <w:lang w:val="bg-BG"/>
        </w:rPr>
        <w:t>ИСТОРИЯ НА ДОКУМЕНТА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700" w:footer="67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3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3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4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-254000</wp:posOffset>
              </wp:positionV>
              <wp:extent cx="6318250" cy="1294765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9476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 xml:space="preserve">ИНТЕГРИРАНА СИСТЕМА ЗА УПРАВЛЕНИЕ НА КАЧЕСТВОТО И ОКОЛНАТА СРЕДА 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КОНТЕКСТ НА ОРГАНИЗАЦИЯТА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1.95pt;mso-wrap-distance-left:9.05pt;mso-wrap-distance-right:9.05pt;mso-wrap-distance-top:0pt;mso-wrap-distance-bottom:0pt;margin-top:-20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 xml:space="preserve">ИНТЕГРИРАНА СИСТЕМА ЗА УПРАВЛЕНИЕ НА КАЧЕСТВОТО И ОКОЛНАТА СРЕДА 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КОНТЕКСТ НА ОРГАНИЗАЦИЯТА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color w:val="000000"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u w:val="single"/>
    </w:rPr>
  </w:style>
  <w:style w:type="character" w:styleId="Style11">
    <w:name w:val="Шрифт на абзаца по подразбиране"/>
    <w:qFormat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">
    <w:name w:val="Основен текст 2"/>
    <w:basedOn w:val="Normal"/>
    <w:qFormat/>
    <w:pPr/>
    <w:rPr>
      <w:color w:val="800000"/>
      <w:sz w:val="22"/>
    </w:rPr>
  </w:style>
  <w:style w:type="paragraph" w:styleId="3">
    <w:name w:val="Основен текст 3"/>
    <w:basedOn w:val="Normal"/>
    <w:qFormat/>
    <w:pPr/>
    <w:rPr>
      <w:color w:val="000000"/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2015-10-26T01:20:00Z</dcterms:created>
  <dc:creator>ws</dc:creator>
  <dc:description/>
  <cp:keywords/>
  <dc:language>bg-BG</dc:language>
  <cp:lastModifiedBy>Nikolay Trayanov</cp:lastModifiedBy>
  <cp:lastPrinted>2002-05-10T13:17:00Z</cp:lastPrinted>
  <dcterms:modified xsi:type="dcterms:W3CDTF">2023-07-11T14:36:00Z</dcterms:modified>
  <cp:revision>27</cp:revision>
  <dc:subject/>
  <dc:title>1</dc:title>
</cp:coreProperties>
</file>