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Висшето ръководство на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 демонстрира лидерската си позиция и ангажимент по отношение на </w:t>
      </w:r>
      <w:r>
        <w:rPr>
          <w:sz w:val="22"/>
          <w:lang w:val="bg-BG"/>
        </w:rPr>
        <w:t xml:space="preserve">ИСУ </w:t>
      </w:r>
      <w:r>
        <w:rPr>
          <w:sz w:val="22"/>
        </w:rPr>
        <w:t>чрез: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>- В</w:t>
      </w:r>
      <w:r>
        <w:rPr>
          <w:sz w:val="22"/>
          <w:lang w:eastAsia="en-US"/>
        </w:rPr>
        <w:t xml:space="preserve">одене на отчетност за ефективността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>системата за управление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Г</w:t>
      </w:r>
      <w:r>
        <w:rPr>
          <w:sz w:val="22"/>
          <w:lang w:eastAsia="en-US"/>
        </w:rPr>
        <w:t>аран</w:t>
      </w:r>
      <w:r>
        <w:rPr>
          <w:sz w:val="22"/>
          <w:lang w:val="bg-BG" w:eastAsia="en-US"/>
        </w:rPr>
        <w:t>ция</w:t>
      </w:r>
      <w:r>
        <w:rPr>
          <w:sz w:val="22"/>
          <w:lang w:eastAsia="en-US"/>
        </w:rPr>
        <w:t xml:space="preserve">, че са установени целите на политиката </w:t>
      </w:r>
      <w:r>
        <w:rPr>
          <w:sz w:val="22"/>
          <w:lang w:val="bg-BG" w:eastAsia="en-US"/>
        </w:rPr>
        <w:t>по</w:t>
      </w:r>
      <w:r>
        <w:rPr>
          <w:sz w:val="22"/>
          <w:lang w:eastAsia="en-US"/>
        </w:rPr>
        <w:t xml:space="preserve"> качеството</w:t>
      </w:r>
      <w:r>
        <w:rPr>
          <w:sz w:val="22"/>
          <w:lang w:val="bg-BG" w:eastAsia="en-US"/>
        </w:rPr>
        <w:t xml:space="preserve"> и екологичните, и че те </w:t>
      </w:r>
      <w:r>
        <w:rPr>
          <w:sz w:val="22"/>
          <w:lang w:eastAsia="en-US"/>
        </w:rPr>
        <w:t>са съвместими с</w:t>
      </w:r>
      <w:r>
        <w:rPr>
          <w:sz w:val="22"/>
          <w:lang w:val="bg-BG" w:eastAsia="en-US"/>
        </w:rPr>
        <w:t xml:space="preserve">ъс </w:t>
      </w:r>
      <w:r>
        <w:rPr>
          <w:sz w:val="22"/>
          <w:lang w:eastAsia="en-US"/>
        </w:rPr>
        <w:t>стратегическ</w:t>
      </w:r>
      <w:r>
        <w:rPr>
          <w:sz w:val="22"/>
          <w:lang w:val="bg-BG" w:eastAsia="en-US"/>
        </w:rPr>
        <w:t xml:space="preserve">ите цели </w:t>
      </w:r>
      <w:r>
        <w:rPr>
          <w:sz w:val="22"/>
          <w:lang w:eastAsia="en-US"/>
        </w:rPr>
        <w:t>на организацията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Гара</w:t>
      </w:r>
      <w:r>
        <w:rPr>
          <w:sz w:val="22"/>
          <w:lang w:val="bg-BG" w:eastAsia="en-US"/>
        </w:rPr>
        <w:t>нция за</w:t>
      </w:r>
      <w:r>
        <w:rPr>
          <w:sz w:val="22"/>
          <w:lang w:eastAsia="en-US"/>
        </w:rPr>
        <w:t xml:space="preserve"> интегрирането на изискванията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>системата за управление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>в бизнес процесите на организацията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Насърчаване на използването на процесния </w:t>
      </w:r>
      <w:r>
        <w:rPr>
          <w:sz w:val="22"/>
          <w:lang w:val="bg-BG" w:eastAsia="en-US"/>
        </w:rPr>
        <w:t xml:space="preserve">и систематизирания </w:t>
      </w:r>
      <w:r>
        <w:rPr>
          <w:sz w:val="22"/>
          <w:lang w:eastAsia="en-US"/>
        </w:rPr>
        <w:t xml:space="preserve">подход, </w:t>
      </w:r>
      <w:r>
        <w:rPr>
          <w:sz w:val="22"/>
          <w:lang w:val="bg-BG" w:eastAsia="en-US"/>
        </w:rPr>
        <w:t>спрямо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мисленето, основано на риска;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Гаранция</w:t>
      </w:r>
      <w:r>
        <w:rPr>
          <w:sz w:val="22"/>
          <w:lang w:eastAsia="en-US"/>
        </w:rPr>
        <w:t xml:space="preserve">, че средствата, необходими за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>системата за управление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>са на разположение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</w:t>
      </w:r>
      <w:r>
        <w:rPr>
          <w:sz w:val="22"/>
          <w:lang w:val="bg-BG" w:eastAsia="en-US"/>
        </w:rPr>
        <w:t>Информиране за</w:t>
      </w:r>
      <w:r>
        <w:rPr>
          <w:sz w:val="22"/>
          <w:lang w:eastAsia="en-US"/>
        </w:rPr>
        <w:t xml:space="preserve"> значението на ефективното управление на качеството</w:t>
      </w:r>
      <w:r>
        <w:rPr>
          <w:sz w:val="22"/>
          <w:lang w:val="bg-BG" w:eastAsia="en-US"/>
        </w:rPr>
        <w:t xml:space="preserve"> и околната среда </w:t>
      </w:r>
      <w:r>
        <w:rPr>
          <w:sz w:val="22"/>
          <w:lang w:eastAsia="en-US"/>
        </w:rPr>
        <w:t>съответстващ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 xml:space="preserve"> на изискванията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>система за управление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Гаран</w:t>
      </w:r>
      <w:r>
        <w:rPr>
          <w:sz w:val="22"/>
          <w:lang w:val="bg-BG" w:eastAsia="en-US"/>
        </w:rPr>
        <w:t>ция</w:t>
      </w:r>
      <w:r>
        <w:rPr>
          <w:sz w:val="22"/>
          <w:lang w:eastAsia="en-US"/>
        </w:rPr>
        <w:t>, че системата за управление постига своите планираните резултати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Намеса, насочване и подпомагане на лица, които да допринесат за ефективността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>система за управление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Насърчаване на подобрения</w:t>
      </w:r>
      <w:r>
        <w:rPr>
          <w:sz w:val="22"/>
          <w:lang w:val="bg-BG" w:eastAsia="en-US"/>
        </w:rPr>
        <w:t>та.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  <w:t>Обхватът на нашата интегрирана система:</w:t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a</w:t>
      </w:r>
      <w:r>
        <w:rPr>
          <w:sz w:val="22"/>
          <w:lang w:val="bg-BG" w:eastAsia="en-US"/>
        </w:rPr>
        <w:t>) е подходящ за целта и контекста на организацията, включително характера, мащаба и въздействието на нейните дейности, продукти и услуги върху качеството и околната среда.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b</w:t>
      </w:r>
      <w:r>
        <w:rPr>
          <w:sz w:val="22"/>
          <w:lang w:val="bg-BG" w:eastAsia="en-US"/>
        </w:rPr>
        <w:t>)  осигурява рамка за определяне на целите;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c</w:t>
      </w:r>
      <w:r>
        <w:rPr>
          <w:sz w:val="22"/>
          <w:lang w:val="bg-BG" w:eastAsia="en-US"/>
        </w:rPr>
        <w:t>) включва ангажимент за поддържане на качеството и опазване на околната среда, включително предотвратяване на замърсяването и други негативни влияния, свързани с контекста на организацията;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d</w:t>
      </w:r>
      <w:r>
        <w:rPr>
          <w:sz w:val="22"/>
          <w:lang w:val="bg-BG" w:eastAsia="en-US"/>
        </w:rPr>
        <w:t>)  включва ангажимент да изпълни своите задължения за привеждане в съответствие със ИСУ;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e</w:t>
      </w:r>
      <w:r>
        <w:rPr>
          <w:sz w:val="22"/>
          <w:lang w:val="bg-BG" w:eastAsia="en-US"/>
        </w:rPr>
        <w:t>)  включва ангажимент за непрекъснато подобряване на интегрираната система за управление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  <w:t xml:space="preserve">Организационни роли, отговорности и </w:t>
      </w:r>
      <w:r>
        <w:rPr>
          <w:b/>
          <w:sz w:val="22"/>
          <w:u w:val="single"/>
          <w:lang w:val="bg-BG" w:eastAsia="en-US"/>
        </w:rPr>
        <w:t>пълномощия</w:t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Висшето ръководство гарантира, че отговорностите</w:t>
      </w:r>
      <w:r>
        <w:rPr>
          <w:sz w:val="22"/>
          <w:lang w:val="bg-BG" w:eastAsia="en-US"/>
        </w:rPr>
        <w:t>,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 xml:space="preserve">пълномощията и </w:t>
      </w:r>
      <w:r>
        <w:rPr>
          <w:sz w:val="22"/>
          <w:lang w:eastAsia="en-US"/>
        </w:rPr>
        <w:t>съответните роли са възложени  в рамките на организацията.</w:t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Ръководителят на организацията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определя</w:t>
      </w:r>
      <w:r>
        <w:rPr>
          <w:sz w:val="22"/>
          <w:lang w:eastAsia="en-US"/>
        </w:rPr>
        <w:t xml:space="preserve"> отговорностите и </w:t>
      </w:r>
      <w:r>
        <w:rPr>
          <w:sz w:val="22"/>
          <w:lang w:val="bg-BG" w:eastAsia="en-US"/>
        </w:rPr>
        <w:t>пълномощията</w:t>
      </w:r>
      <w:r>
        <w:rPr>
          <w:sz w:val="22"/>
          <w:lang w:eastAsia="en-US"/>
        </w:rPr>
        <w:t xml:space="preserve"> за различните </w:t>
      </w:r>
      <w:r>
        <w:rPr>
          <w:sz w:val="22"/>
          <w:lang w:val="bg-BG" w:eastAsia="en-US"/>
        </w:rPr>
        <w:t>длъжности</w:t>
      </w:r>
      <w:r>
        <w:rPr>
          <w:sz w:val="22"/>
          <w:lang w:eastAsia="en-US"/>
        </w:rPr>
        <w:t xml:space="preserve"> в организацията</w:t>
      </w:r>
      <w:r>
        <w:rPr>
          <w:sz w:val="22"/>
          <w:lang w:val="bg-BG" w:eastAsia="en-US"/>
        </w:rPr>
        <w:t>, а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Р</w:t>
      </w:r>
      <w:r>
        <w:rPr>
          <w:sz w:val="22"/>
          <w:lang w:eastAsia="en-US"/>
        </w:rPr>
        <w:t xml:space="preserve">ъководител </w:t>
      </w:r>
      <w:r>
        <w:rPr>
          <w:sz w:val="22"/>
          <w:lang w:val="bg-BG" w:eastAsia="en-US"/>
        </w:rPr>
        <w:t>Човешки ресурси запознава съответните лица с техните отговорности и пълномощия.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Отделно от това, </w:t>
      </w:r>
      <w:r>
        <w:rPr>
          <w:sz w:val="22"/>
          <w:lang w:val="bg-BG" w:eastAsia="en-US"/>
        </w:rPr>
        <w:t>се</w:t>
      </w:r>
      <w:r>
        <w:rPr>
          <w:sz w:val="22"/>
          <w:lang w:eastAsia="en-US"/>
        </w:rPr>
        <w:t xml:space="preserve"> назнач</w:t>
      </w:r>
      <w:r>
        <w:rPr>
          <w:sz w:val="22"/>
          <w:lang w:val="bg-BG" w:eastAsia="en-US"/>
        </w:rPr>
        <w:t>ава Упълномощен представител на ръководството по управление на интегрираната система</w:t>
      </w:r>
      <w:r>
        <w:rPr>
          <w:sz w:val="22"/>
          <w:lang w:eastAsia="en-US"/>
        </w:rPr>
        <w:t>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Упълномощеният представител на ръководството по управлението на интегрираната система има за задача</w:t>
      </w:r>
      <w:r>
        <w:rPr>
          <w:sz w:val="22"/>
          <w:lang w:eastAsia="en-US"/>
        </w:rPr>
        <w:t>: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 xml:space="preserve">а) да гарантира, че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 xml:space="preserve">система за управление 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 в съответствие с изискванията на </w:t>
      </w:r>
      <w:r>
        <w:rPr>
          <w:sz w:val="22"/>
          <w:lang w:val="bg-BG" w:eastAsia="en-US"/>
        </w:rPr>
        <w:t xml:space="preserve">Стандарти </w:t>
      </w:r>
      <w:r>
        <w:rPr>
          <w:sz w:val="22"/>
          <w:lang w:eastAsia="en-US"/>
        </w:rPr>
        <w:t xml:space="preserve">ISO </w:t>
      </w:r>
      <w:r>
        <w:rPr>
          <w:sz w:val="22"/>
          <w:lang w:val="bg-BG" w:eastAsia="en-US"/>
        </w:rPr>
        <w:t>9</w:t>
      </w:r>
      <w:r>
        <w:rPr>
          <w:sz w:val="22"/>
          <w:lang w:eastAsia="en-US"/>
        </w:rPr>
        <w:t>001: 201</w:t>
      </w:r>
      <w:r>
        <w:rPr>
          <w:sz w:val="22"/>
          <w:lang w:val="bg-BG" w:eastAsia="en-US"/>
        </w:rPr>
        <w:t xml:space="preserve">5 и </w:t>
      </w:r>
      <w:r>
        <w:rPr>
          <w:sz w:val="22"/>
          <w:lang w:eastAsia="en-US"/>
        </w:rPr>
        <w:t>ISO 14001: 2015</w:t>
      </w:r>
      <w:r>
        <w:rPr>
          <w:sz w:val="22"/>
          <w:lang w:val="bg-BG" w:eastAsia="en-US"/>
        </w:rPr>
        <w:t xml:space="preserve"> 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б) отчита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 xml:space="preserve">изпълнението на </w:t>
      </w:r>
      <w:r>
        <w:rPr>
          <w:sz w:val="22"/>
          <w:lang w:val="bg-BG" w:eastAsia="en-US"/>
        </w:rPr>
        <w:t xml:space="preserve">интегрираната </w:t>
      </w:r>
      <w:r>
        <w:rPr>
          <w:sz w:val="22"/>
          <w:lang w:eastAsia="en-US"/>
        </w:rPr>
        <w:t xml:space="preserve">системата за управление, включително и </w:t>
      </w:r>
      <w:r>
        <w:rPr>
          <w:sz w:val="22"/>
          <w:lang w:val="bg-BG" w:eastAsia="en-US"/>
        </w:rPr>
        <w:t>целите.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i/>
          <w:sz w:val="22"/>
          <w:lang w:eastAsia="en-US"/>
        </w:rPr>
        <w:t xml:space="preserve">Забележка: </w:t>
      </w:r>
      <w:r>
        <w:rPr>
          <w:i/>
          <w:sz w:val="22"/>
          <w:lang w:val="bg-BG" w:eastAsia="en-US"/>
        </w:rPr>
        <w:t>Р</w:t>
      </w:r>
      <w:r>
        <w:rPr>
          <w:i/>
          <w:sz w:val="22"/>
          <w:lang w:eastAsia="en-US"/>
        </w:rPr>
        <w:t>ъководители</w:t>
      </w:r>
      <w:r>
        <w:rPr>
          <w:i/>
          <w:sz w:val="22"/>
          <w:lang w:val="bg-BG" w:eastAsia="en-US"/>
        </w:rPr>
        <w:t>те</w:t>
      </w:r>
      <w:r>
        <w:rPr>
          <w:i/>
          <w:sz w:val="22"/>
          <w:lang w:eastAsia="en-US"/>
        </w:rPr>
        <w:t xml:space="preserve"> на отдели са отговорни за гарантиране на прилагането на </w:t>
      </w:r>
      <w:r>
        <w:rPr>
          <w:i/>
          <w:sz w:val="22"/>
          <w:lang w:val="bg-BG" w:eastAsia="en-US"/>
        </w:rPr>
        <w:t xml:space="preserve">интегрираната </w:t>
      </w:r>
      <w:r>
        <w:rPr>
          <w:i/>
          <w:sz w:val="22"/>
          <w:lang w:eastAsia="en-US"/>
        </w:rPr>
        <w:t xml:space="preserve">система за управление </w:t>
      </w:r>
      <w:r>
        <w:rPr>
          <w:i/>
          <w:sz w:val="22"/>
          <w:lang w:val="bg-BG" w:eastAsia="en-US"/>
        </w:rPr>
        <w:t>в съответствие с</w:t>
      </w:r>
      <w:r>
        <w:rPr>
          <w:i/>
          <w:sz w:val="22"/>
          <w:lang w:eastAsia="en-US"/>
        </w:rPr>
        <w:t xml:space="preserve"> изискванията на </w:t>
      </w:r>
      <w:r>
        <w:rPr>
          <w:i/>
          <w:sz w:val="22"/>
          <w:lang w:val="bg-BG" w:eastAsia="en-US"/>
        </w:rPr>
        <w:t xml:space="preserve">Стандарти  </w:t>
      </w:r>
      <w:r>
        <w:rPr>
          <w:i/>
          <w:sz w:val="22"/>
          <w:lang w:eastAsia="en-US"/>
        </w:rPr>
        <w:t>ISO 9001: 2015</w:t>
      </w:r>
      <w:r>
        <w:rPr>
          <w:i/>
          <w:sz w:val="22"/>
          <w:lang w:val="bg-BG" w:eastAsia="en-US"/>
        </w:rPr>
        <w:t xml:space="preserve"> и </w:t>
      </w:r>
      <w:r>
        <w:rPr>
          <w:i/>
          <w:sz w:val="22"/>
          <w:lang w:eastAsia="en-US"/>
        </w:rPr>
        <w:t xml:space="preserve">ISO 14001: 2015 и </w:t>
      </w:r>
      <w:r>
        <w:rPr>
          <w:i/>
          <w:sz w:val="22"/>
          <w:lang w:val="bg-BG" w:eastAsia="en-US"/>
        </w:rPr>
        <w:t>да</w:t>
      </w:r>
      <w:r>
        <w:rPr>
          <w:i/>
          <w:sz w:val="22"/>
          <w:lang w:eastAsia="en-US"/>
        </w:rPr>
        <w:t xml:space="preserve"> предоставят необходимата власт </w:t>
      </w:r>
      <w:r>
        <w:rPr>
          <w:i/>
          <w:sz w:val="22"/>
          <w:lang w:val="bg-BG" w:eastAsia="en-US"/>
        </w:rPr>
        <w:t>за</w:t>
      </w:r>
      <w:r>
        <w:rPr>
          <w:i/>
          <w:sz w:val="22"/>
          <w:lang w:eastAsia="en-US"/>
        </w:rPr>
        <w:t xml:space="preserve"> постиг</w:t>
      </w:r>
      <w:r>
        <w:rPr>
          <w:i/>
          <w:sz w:val="22"/>
          <w:lang w:val="bg-BG" w:eastAsia="en-US"/>
        </w:rPr>
        <w:t>а</w:t>
      </w:r>
      <w:r>
        <w:rPr>
          <w:i/>
          <w:sz w:val="22"/>
          <w:lang w:eastAsia="en-US"/>
        </w:rPr>
        <w:t>не</w:t>
      </w:r>
      <w:r>
        <w:rPr>
          <w:i/>
          <w:sz w:val="22"/>
          <w:lang w:val="bg-BG" w:eastAsia="en-US"/>
        </w:rPr>
        <w:t xml:space="preserve"> на</w:t>
      </w:r>
      <w:r>
        <w:rPr>
          <w:i/>
          <w:sz w:val="22"/>
          <w:lang w:eastAsia="en-US"/>
        </w:rPr>
        <w:t xml:space="preserve"> това</w:t>
      </w:r>
      <w:r>
        <w:rPr>
          <w:i/>
          <w:sz w:val="22"/>
          <w:lang w:val="bg-BG" w:eastAsia="en-US"/>
        </w:rPr>
        <w:t xml:space="preserve"> </w:t>
      </w:r>
      <w:r>
        <w:rPr>
          <w:i/>
          <w:sz w:val="22"/>
          <w:lang w:eastAsia="en-US"/>
        </w:rPr>
        <w:t xml:space="preserve">в съответните </w:t>
      </w:r>
      <w:r>
        <w:rPr>
          <w:i/>
          <w:sz w:val="22"/>
          <w:lang w:val="bg-BG" w:eastAsia="en-US"/>
        </w:rPr>
        <w:t>отдели</w:t>
      </w:r>
      <w:r>
        <w:rPr>
          <w:i/>
          <w:sz w:val="22"/>
          <w:lang w:eastAsia="en-US"/>
        </w:rPr>
        <w:t>.</w:t>
      </w:r>
    </w:p>
    <w:p>
      <w:pPr>
        <w:pStyle w:val="Normal"/>
        <w:ind w:firstLine="720" w:end="0"/>
        <w:jc w:val="both"/>
        <w:rPr>
          <w:i/>
          <w:sz w:val="22"/>
          <w:lang w:val="bg-BG" w:eastAsia="en-US"/>
        </w:rPr>
      </w:pPr>
      <w:r>
        <w:rPr>
          <w:i/>
          <w:sz w:val="22"/>
          <w:lang w:val="bg-BG" w:eastAsia="en-US"/>
        </w:rPr>
      </w:r>
    </w:p>
    <w:p>
      <w:pPr>
        <w:pStyle w:val="Heading2"/>
        <w:ind w:hanging="0" w:start="0"/>
        <w:jc w:val="both"/>
        <w:rPr>
          <w:lang w:val="bg-BG"/>
        </w:rPr>
      </w:pPr>
      <w:r>
        <w:rPr>
          <w:lang w:val="bg-BG"/>
        </w:rPr>
        <w:t>Фокус върху клиентите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Висшето ръководство на организацията демонстрира лидерската си позиция и ангажимент по отношение на фокус</w:t>
      </w:r>
      <w:r>
        <w:rPr>
          <w:sz w:val="22"/>
          <w:lang w:val="bg-BG"/>
        </w:rPr>
        <w:t>а</w:t>
      </w:r>
      <w:r>
        <w:rPr>
          <w:sz w:val="22"/>
        </w:rPr>
        <w:t xml:space="preserve"> върху клиентите, </w:t>
      </w:r>
      <w:r>
        <w:rPr>
          <w:sz w:val="22"/>
          <w:lang w:val="bg-BG"/>
        </w:rPr>
        <w:t>чрез:</w:t>
      </w:r>
    </w:p>
    <w:p>
      <w:pPr>
        <w:pStyle w:val="Normal"/>
        <w:jc w:val="both"/>
        <w:rPr>
          <w:sz w:val="8"/>
          <w:lang w:val="bg-BG"/>
        </w:rPr>
      </w:pPr>
      <w:r>
        <w:rPr>
          <w:sz w:val="8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- </w:t>
      </w:r>
      <w:r>
        <w:rPr>
          <w:sz w:val="22"/>
        </w:rPr>
        <w:t xml:space="preserve">Изискванията на клиентите и приложимите законови и регулаторни изисквания са определени, разбрани и </w:t>
      </w:r>
      <w:r>
        <w:rPr>
          <w:sz w:val="22"/>
          <w:lang w:val="bg-BG"/>
        </w:rPr>
        <w:t>на тях е отговорено</w:t>
      </w:r>
      <w:r>
        <w:rPr>
          <w:sz w:val="22"/>
        </w:rPr>
        <w:t xml:space="preserve"> последователно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- Рисковете и възможностите, които могат да повлияят на съответствието на продукти</w:t>
      </w:r>
      <w:r>
        <w:rPr>
          <w:sz w:val="22"/>
          <w:lang w:val="bg-BG"/>
        </w:rPr>
        <w:t>те</w:t>
      </w:r>
      <w:r>
        <w:rPr>
          <w:sz w:val="22"/>
        </w:rPr>
        <w:t xml:space="preserve"> и услуги</w:t>
      </w:r>
      <w:r>
        <w:rPr>
          <w:sz w:val="22"/>
          <w:lang w:val="bg-BG"/>
        </w:rPr>
        <w:t>те</w:t>
      </w:r>
      <w:r>
        <w:rPr>
          <w:sz w:val="22"/>
        </w:rPr>
        <w:t>, както и способността да</w:t>
      </w:r>
      <w:r>
        <w:rPr>
          <w:sz w:val="22"/>
          <w:lang w:val="bg-BG"/>
        </w:rPr>
        <w:t xml:space="preserve"> се</w:t>
      </w:r>
      <w:r>
        <w:rPr>
          <w:sz w:val="22"/>
        </w:rPr>
        <w:t xml:space="preserve"> повиши удовлетвореността на клиентите са определени и разгледани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- Поддържане на акцентът върху повишаване на удовлетвореността на клиентите.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8"/>
        </w:rPr>
      </w:pPr>
      <w:r>
        <w:rPr>
          <w:sz w:val="8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615" w:footer="89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-292100</wp:posOffset>
              </wp:positionV>
              <wp:extent cx="6318250" cy="1351915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5191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 xml:space="preserve">ИНТЕГРИРАНА СИСТЕМА ЗА УПРАВЛЕНИЕ НА КАЧЕСТВОТО И ОКОЛНАТА СРЕДА 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 w:eastAsia="en-US"/>
                                  </w:rPr>
                                  <w:t>ЛИДЕРСТВО И АНГАЖИРАНОСТ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6.45pt;mso-wrap-distance-left:9.05pt;mso-wrap-distance-right:9.05pt;mso-wrap-distance-top:0pt;mso-wrap-distance-bottom:0pt;margin-top:-23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 xml:space="preserve">ИНТЕГРИРАНА СИСТЕМА ЗА УПРАВЛЕНИЕ НА КАЧЕСТВОТО И ОКОЛНАТА СРЕДА 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 w:eastAsia="en-US"/>
                            </w:rPr>
                            <w:t>ЛИДЕРСТВО И АНГАЖИРАНОСТ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u w:val="single"/>
    </w:rPr>
  </w:style>
  <w:style w:type="character" w:styleId="WW8Num5z0">
    <w:name w:val="WW8Num5z0"/>
    <w:qFormat/>
    <w:rPr/>
  </w:style>
  <w:style w:type="character" w:styleId="Style12">
    <w:name w:val="Шрифт на абзаца по подразбиране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2015-11-03T04:13:00Z</dcterms:created>
  <dc:creator>ws</dc:creator>
  <dc:description/>
  <cp:keywords/>
  <dc:language>bg-BG</dc:language>
  <cp:lastModifiedBy>Nikolay Trayanov</cp:lastModifiedBy>
  <cp:lastPrinted>2002-05-24T14:30:00Z</cp:lastPrinted>
  <dcterms:modified xsi:type="dcterms:W3CDTF">2023-07-11T14:38:00Z</dcterms:modified>
  <cp:revision>20</cp:revision>
  <dc:subject/>
  <dc:title>1</dc:title>
</cp:coreProperties>
</file>