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lang w:val="bg-BG"/>
        </w:rPr>
      </w:pPr>
      <w:r>
        <w:rPr>
          <w:b/>
          <w:sz w:val="22"/>
          <w:u w:val="single"/>
          <w:lang w:val="bg-BG"/>
        </w:rPr>
        <w:t>Въведение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Интегрираната с</w:t>
      </w:r>
      <w:r>
        <w:rPr>
          <w:sz w:val="22"/>
        </w:rPr>
        <w:t>истема (</w:t>
      </w:r>
      <w:r>
        <w:rPr>
          <w:sz w:val="22"/>
          <w:lang w:val="bg-BG"/>
        </w:rPr>
        <w:t>И</w:t>
      </w:r>
      <w:r>
        <w:rPr>
          <w:sz w:val="22"/>
        </w:rPr>
        <w:t xml:space="preserve">СУ) на нашата организация </w:t>
      </w:r>
      <w:r>
        <w:rPr>
          <w:sz w:val="22"/>
          <w:lang w:val="bg-BG"/>
        </w:rPr>
        <w:t xml:space="preserve">лежи </w:t>
      </w:r>
      <w:r>
        <w:rPr>
          <w:sz w:val="22"/>
        </w:rPr>
        <w:t xml:space="preserve">върху здрава основа, на един добре организиран набор от документи (известни също като документирана информация), състояща се от </w:t>
      </w:r>
      <w:r>
        <w:rPr>
          <w:sz w:val="22"/>
          <w:lang w:val="bg-BG"/>
        </w:rPr>
        <w:t>Наръчник</w:t>
      </w:r>
      <w:r>
        <w:rPr>
          <w:sz w:val="22"/>
        </w:rPr>
        <w:t xml:space="preserve">, </w:t>
      </w:r>
      <w:r>
        <w:rPr>
          <w:sz w:val="22"/>
          <w:lang w:val="bg-BG"/>
        </w:rPr>
        <w:t>Инструкция за работа с Наръчника</w:t>
      </w:r>
      <w:r>
        <w:rPr>
          <w:sz w:val="22"/>
        </w:rPr>
        <w:t xml:space="preserve">, </w:t>
      </w:r>
      <w:r>
        <w:rPr>
          <w:sz w:val="22"/>
          <w:lang w:val="bg-BG"/>
        </w:rPr>
        <w:t>Оперативни документи и записи</w:t>
      </w:r>
      <w:r>
        <w:rPr>
          <w:sz w:val="22"/>
        </w:rPr>
        <w:t>, както и друг</w:t>
      </w:r>
      <w:r>
        <w:rPr>
          <w:sz w:val="22"/>
          <w:lang w:val="bg-BG"/>
        </w:rPr>
        <w:t>и</w:t>
      </w:r>
      <w:r>
        <w:rPr>
          <w:sz w:val="22"/>
        </w:rPr>
        <w:t xml:space="preserve"> документи</w:t>
      </w:r>
      <w:r>
        <w:rPr>
          <w:sz w:val="22"/>
          <w:lang w:val="bg-BG"/>
        </w:rPr>
        <w:t>, отнасящи се до ИСУ. Показаната п</w:t>
      </w:r>
      <w:r>
        <w:rPr>
          <w:sz w:val="22"/>
        </w:rPr>
        <w:t xml:space="preserve">ирамидата илюстрира йерархията на </w:t>
      </w:r>
      <w:r>
        <w:rPr>
          <w:sz w:val="22"/>
          <w:lang w:val="bg-BG"/>
        </w:rPr>
        <w:t xml:space="preserve">ИСУ контролираната документация </w:t>
      </w:r>
      <w:r>
        <w:rPr>
          <w:sz w:val="22"/>
        </w:rPr>
        <w:t xml:space="preserve">от </w:t>
      </w:r>
      <w:r>
        <w:rPr>
          <w:sz w:val="22"/>
          <w:lang w:val="bg-BG"/>
        </w:rPr>
        <w:t>Упълномощения представител на ръководството за ИСУ.</w:t>
      </w:r>
    </w:p>
    <w:p>
      <w:pPr>
        <w:pStyle w:val="Normal"/>
        <w:jc w:val="center"/>
        <w:rPr>
          <w:sz w:val="22"/>
          <w:lang w:val="bg-BG" w:eastAsia="bg-BG"/>
        </w:rPr>
      </w:pPr>
      <w:r>
        <w:rPr>
          <w:sz w:val="22"/>
          <w:lang w:val="bg-BG" w:eastAsia="bg-BG"/>
        </w:rPr>
        <mc:AlternateContent>
          <mc:Choice Requires="wps">
            <w:drawing>
              <wp:anchor distT="0" distB="0" distL="114935" distR="114935" simplePos="0" relativeHeight="4" behindDoc="1" locked="0" layoutInCell="1" allowOverlap="1">
                <wp:simplePos x="0" y="0"/>
                <wp:positionH relativeFrom="column">
                  <wp:posOffset>1107440</wp:posOffset>
                </wp:positionH>
                <wp:positionV relativeFrom="paragraph">
                  <wp:posOffset>71755</wp:posOffset>
                </wp:positionV>
                <wp:extent cx="3935730" cy="3024505"/>
                <wp:effectExtent l="8890" t="9525" r="952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5880" cy="302436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,21600l@0,l21600,21600xe">
                <v:stroke joinstyle="miter"/>
                <v:formulas>
                  <v:f eqn="val #0"/>
                  <v:f eqn="prod 1 @0 2"/>
                  <v:f eqn="sum @1 10800 0"/>
                </v:formulas>
                <v:path gradientshapeok="t" o:connecttype="rect" textboxrect="@1,10800,@2,21600"/>
                <v:handles>
                  <v:h position="@0,0"/>
                </v:handles>
              </v:shapetype>
              <v:shape id="shape_0" fillcolor="white" stroked="t" o:allowincell="f" style="position:absolute;margin-left:87.2pt;margin-top:5.65pt;width:309.85pt;height:238.1pt;mso-wrap-style:none;v-text-anchor:middle" type="_x0000_t5"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jc w:val="center"/>
        <w:rPr>
          <w:sz w:val="22"/>
        </w:rPr>
      </w:pPr>
      <w:r>
        <w:rPr>
          <w:sz w:val="22"/>
        </w:rPr>
      </w:r>
    </w:p>
    <w:p>
      <w:pPr>
        <w:pStyle w:val="Normal"/>
        <w:jc w:val="center"/>
        <w:rPr>
          <w:sz w:val="22"/>
        </w:rPr>
      </w:pPr>
      <w:r>
        <w:rPr>
          <w:sz w:val="22"/>
        </w:rPr>
      </w:r>
    </w:p>
    <w:p>
      <w:pPr>
        <w:pStyle w:val="Normal"/>
        <w:jc w:val="center"/>
        <w:rPr>
          <w:sz w:val="22"/>
        </w:rPr>
      </w:pPr>
      <w:r>
        <w:rPr>
          <w:sz w:val="22"/>
        </w:rPr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  <w:t xml:space="preserve">НАРЪЧНИК 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jc w:val="center"/>
        <w:rPr>
          <w:b/>
          <w:sz w:val="22"/>
          <w:lang w:val="bg-BG" w:eastAsia="bg-BG"/>
        </w:rPr>
      </w:pPr>
      <w:r>
        <w:rPr>
          <w:b/>
          <w:sz w:val="22"/>
          <w:lang w:val="bg-BG" w:eastAsia="bg-BG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-2540</wp:posOffset>
                </wp:positionV>
                <wp:extent cx="1828800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9pt,-0.2pt" to="317.85pt,-0.2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/>
      </w:pPr>
      <w:r>
        <w:rPr>
          <w:b/>
          <w:sz w:val="22"/>
          <w:lang w:val="bg-BG"/>
        </w:rPr>
        <w:t xml:space="preserve">ИНСТРУКЦИИ ЗА 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  <w:t xml:space="preserve">РАБОТА С НАРЪЧНИК </w:t>
      </w:r>
    </w:p>
    <w:p>
      <w:pPr>
        <w:pStyle w:val="Normal"/>
        <w:jc w:val="center"/>
        <w:rPr>
          <w:b/>
          <w:sz w:val="22"/>
          <w:lang w:val="bg-BG" w:eastAsia="bg-BG"/>
        </w:rPr>
      </w:pPr>
      <w:r>
        <w:rPr>
          <w:b/>
          <w:sz w:val="22"/>
          <w:lang w:val="bg-BG" w:eastAsia="bg-BG"/>
        </w:rP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1751330</wp:posOffset>
                </wp:positionH>
                <wp:positionV relativeFrom="paragraph">
                  <wp:posOffset>155575</wp:posOffset>
                </wp:positionV>
                <wp:extent cx="274320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9pt,12.25pt" to="353.85pt,12.2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  <w:t>ОПЕРАТИВНИ ДОКУМЕНТИ И ЗАПИСИ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Heading1"/>
        <w:ind w:hanging="0" w:start="0"/>
        <w:rPr>
          <w:b/>
          <w:sz w:val="22"/>
          <w:lang w:val="bg-BG"/>
        </w:rPr>
      </w:pPr>
      <w:r>
        <w:rPr>
          <w:b/>
          <w:sz w:val="22"/>
          <w:lang w:val="bg-BG"/>
        </w:rPr>
        <w:t>Пирамида на система за документирана информация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b/>
          <w:sz w:val="22"/>
          <w:u w:val="single"/>
          <w:lang w:val="bg-BG"/>
        </w:rPr>
        <w:t>НАРЪЧНИК ЗА УПРАВЛЕНИЕ НА КАЧЕСТВОТО И ОКОЛНАТА СРЕДА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  <w:lang w:val="bg-BG"/>
        </w:rPr>
        <w:t>Този наръчник</w:t>
      </w:r>
      <w:r>
        <w:rPr>
          <w:sz w:val="22"/>
        </w:rPr>
        <w:t xml:space="preserve"> дава подробна информация за това как организацията постига целите си чрез различни дейности </w:t>
      </w:r>
      <w:r>
        <w:rPr>
          <w:sz w:val="22"/>
          <w:lang w:val="bg-BG"/>
        </w:rPr>
        <w:t>в съответствие с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изискванията на </w:t>
      </w:r>
      <w:r>
        <w:rPr>
          <w:sz w:val="22"/>
        </w:rPr>
        <w:t>ISO</w:t>
      </w:r>
      <w:r>
        <w:rPr>
          <w:sz w:val="22"/>
          <w:lang w:val="bg-BG"/>
        </w:rPr>
        <w:t xml:space="preserve"> </w:t>
      </w:r>
      <w:r>
        <w:rPr>
          <w:sz w:val="22"/>
        </w:rPr>
        <w:t>9001</w:t>
      </w:r>
      <w:r>
        <w:rPr>
          <w:sz w:val="22"/>
          <w:lang w:val="bg-BG"/>
        </w:rPr>
        <w:t>: 2015 и ISO 14001:2015</w:t>
      </w:r>
      <w:r>
        <w:rPr>
          <w:sz w:val="22"/>
        </w:rPr>
        <w:t xml:space="preserve">. </w:t>
      </w:r>
      <w:r>
        <w:rPr>
          <w:sz w:val="22"/>
          <w:lang w:val="bg-BG"/>
        </w:rPr>
        <w:t>Където е необходимо, т</w:t>
      </w:r>
      <w:r>
        <w:rPr>
          <w:sz w:val="22"/>
        </w:rPr>
        <w:t>я осигурява препратки към други части на пирамидата на документация</w:t>
      </w:r>
      <w:r>
        <w:rPr>
          <w:sz w:val="22"/>
          <w:lang w:val="bg-BG"/>
        </w:rPr>
        <w:t>та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Разпространението на </w:t>
      </w:r>
      <w:r>
        <w:rPr>
          <w:sz w:val="22"/>
          <w:lang w:val="bg-BG"/>
        </w:rPr>
        <w:t xml:space="preserve">Наръчника за </w:t>
      </w:r>
      <w:r>
        <w:rPr>
          <w:sz w:val="22"/>
        </w:rPr>
        <w:t xml:space="preserve">управление е ограничено. </w:t>
      </w:r>
      <w:r>
        <w:rPr>
          <w:sz w:val="22"/>
          <w:lang w:val="bg-BG"/>
        </w:rPr>
        <w:t>УПР по ИСУ</w:t>
      </w:r>
      <w:r>
        <w:rPr>
          <w:sz w:val="22"/>
        </w:rPr>
        <w:t xml:space="preserve"> контролира тази документация.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  <w:lang w:val="bg-BG"/>
        </w:rPr>
        <w:t xml:space="preserve">ИНСТРУКЦИИ ЗА РАБОТА С НАРЪЧНИК ПО УПРАВЛЕНИЕ 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Инструкциите за работа с Наръчника по управление </w:t>
      </w:r>
      <w:r>
        <w:rPr>
          <w:sz w:val="22"/>
        </w:rPr>
        <w:t xml:space="preserve">дава </w:t>
      </w:r>
      <w:r>
        <w:rPr>
          <w:sz w:val="22"/>
          <w:lang w:val="bg-BG"/>
        </w:rPr>
        <w:t>последователни указания</w:t>
      </w:r>
      <w:r>
        <w:rPr>
          <w:sz w:val="22"/>
        </w:rPr>
        <w:t xml:space="preserve"> </w:t>
      </w:r>
      <w:r>
        <w:rPr>
          <w:sz w:val="22"/>
          <w:lang w:val="bg-BG"/>
        </w:rPr>
        <w:t>на</w:t>
      </w:r>
      <w:r>
        <w:rPr>
          <w:sz w:val="22"/>
        </w:rPr>
        <w:t xml:space="preserve"> работна</w:t>
      </w:r>
      <w:r>
        <w:rPr>
          <w:sz w:val="22"/>
          <w:lang w:val="bg-BG"/>
        </w:rPr>
        <w:t>та</w:t>
      </w:r>
      <w:r>
        <w:rPr>
          <w:sz w:val="22"/>
        </w:rPr>
        <w:t xml:space="preserve"> сила за извършване</w:t>
      </w:r>
      <w:r>
        <w:rPr>
          <w:sz w:val="22"/>
          <w:lang w:val="bg-BG"/>
        </w:rPr>
        <w:t>то</w:t>
      </w:r>
      <w:r>
        <w:rPr>
          <w:sz w:val="22"/>
        </w:rPr>
        <w:t xml:space="preserve"> на дейности, свързани с осигуряване на </w:t>
      </w:r>
      <w:r>
        <w:rPr>
          <w:sz w:val="22"/>
          <w:lang w:val="bg-BG"/>
        </w:rPr>
        <w:t>качество и опазване на околната среда и безопасността на служителите.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Тази инструкция е поверителен документ и разпространението </w:t>
      </w:r>
      <w:r>
        <w:rPr>
          <w:sz w:val="22"/>
          <w:lang w:val="bg-BG"/>
        </w:rPr>
        <w:t>и</w:t>
      </w:r>
      <w:r>
        <w:rPr>
          <w:sz w:val="22"/>
        </w:rPr>
        <w:t xml:space="preserve"> е ограничено. </w:t>
      </w:r>
      <w:r>
        <w:rPr>
          <w:sz w:val="22"/>
          <w:lang w:val="bg-BG"/>
        </w:rPr>
        <w:t>УПР по ИСУ</w:t>
      </w:r>
      <w:r>
        <w:rPr>
          <w:sz w:val="22"/>
        </w:rPr>
        <w:t xml:space="preserve"> контролира тази документация.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b/>
          <w:sz w:val="22"/>
          <w:u w:val="single"/>
          <w:lang w:val="bg-BG"/>
        </w:rPr>
        <w:t>ОПЕРАТИВНИ ДОКУМЕНТИ И ЗАПИСИ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Оперативните документи</w:t>
      </w:r>
      <w:r>
        <w:rPr>
          <w:sz w:val="22"/>
        </w:rPr>
        <w:t xml:space="preserve"> се отнас</w:t>
      </w:r>
      <w:r>
        <w:rPr>
          <w:sz w:val="22"/>
          <w:lang w:val="bg-BG"/>
        </w:rPr>
        <w:t>ят</w:t>
      </w:r>
      <w:r>
        <w:rPr>
          <w:sz w:val="22"/>
        </w:rPr>
        <w:t xml:space="preserve"> за стандартни формуляри, в които записите по качеството</w:t>
      </w:r>
      <w:r>
        <w:rPr>
          <w:sz w:val="22"/>
          <w:lang w:val="bg-BG"/>
        </w:rPr>
        <w:t xml:space="preserve"> и  опазването на околната среда </w:t>
      </w:r>
      <w:r>
        <w:rPr>
          <w:sz w:val="22"/>
        </w:rPr>
        <w:t>трябва да се поддържат.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Спецификации</w:t>
      </w:r>
      <w:r>
        <w:rPr>
          <w:sz w:val="22"/>
          <w:lang w:val="bg-BG"/>
        </w:rPr>
        <w:t>те</w:t>
      </w:r>
      <w:r>
        <w:rPr>
          <w:sz w:val="22"/>
        </w:rPr>
        <w:t xml:space="preserve"> се отнася</w:t>
      </w:r>
      <w:r>
        <w:rPr>
          <w:sz w:val="22"/>
          <w:lang w:val="bg-BG"/>
        </w:rPr>
        <w:t>т</w:t>
      </w:r>
      <w:r>
        <w:rPr>
          <w:sz w:val="22"/>
        </w:rPr>
        <w:t xml:space="preserve"> за продукта / процес</w:t>
      </w:r>
      <w:r>
        <w:rPr>
          <w:sz w:val="22"/>
          <w:lang w:val="bg-BG"/>
        </w:rPr>
        <w:t>а</w:t>
      </w:r>
      <w:r>
        <w:rPr>
          <w:sz w:val="22"/>
        </w:rPr>
        <w:t xml:space="preserve"> / услуга</w:t>
      </w:r>
      <w:r>
        <w:rPr>
          <w:sz w:val="22"/>
          <w:lang w:val="bg-BG"/>
        </w:rPr>
        <w:t>та</w:t>
      </w:r>
      <w:r>
        <w:rPr>
          <w:sz w:val="22"/>
        </w:rPr>
        <w:t xml:space="preserve"> / инспекция</w:t>
      </w:r>
      <w:r>
        <w:rPr>
          <w:sz w:val="22"/>
          <w:lang w:val="bg-BG"/>
        </w:rPr>
        <w:t>та</w:t>
      </w:r>
      <w:r>
        <w:rPr>
          <w:sz w:val="22"/>
        </w:rPr>
        <w:t xml:space="preserve"> за различните елементи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>система</w:t>
      </w:r>
      <w:r>
        <w:rPr>
          <w:sz w:val="22"/>
          <w:lang w:val="bg-BG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Записи</w:t>
      </w:r>
      <w:r>
        <w:rPr>
          <w:sz w:val="22"/>
          <w:lang w:val="bg-BG"/>
        </w:rPr>
        <w:t>те</w:t>
      </w:r>
      <w:r>
        <w:rPr>
          <w:sz w:val="22"/>
        </w:rPr>
        <w:t xml:space="preserve"> са документирани доказателства за планираните дейности инспекция / изпитване / преглед по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 xml:space="preserve">система за </w:t>
      </w:r>
      <w:r>
        <w:rPr>
          <w:sz w:val="22"/>
          <w:lang w:val="bg-BG"/>
        </w:rPr>
        <w:t>управление, съгласно Стандарти</w:t>
      </w:r>
      <w:r>
        <w:rPr>
          <w:sz w:val="22"/>
        </w:rPr>
        <w:t xml:space="preserve"> ISO 9001: 2015</w:t>
      </w:r>
      <w:r>
        <w:rPr>
          <w:sz w:val="22"/>
          <w:lang w:val="bg-BG"/>
        </w:rPr>
        <w:t xml:space="preserve"> и </w:t>
      </w:r>
      <w:r>
        <w:rPr>
          <w:sz w:val="22"/>
        </w:rPr>
        <w:t>ISO14001:2015</w:t>
      </w:r>
      <w:r>
        <w:rPr>
          <w:sz w:val="22"/>
          <w:lang w:val="bg-BG"/>
        </w:rPr>
        <w:t>.</w:t>
      </w:r>
    </w:p>
    <w:p>
      <w:pPr>
        <w:pStyle w:val="Normal"/>
        <w:rPr>
          <w:rFonts w:ascii="Arial" w:hAnsi="Arial" w:cs="Arial"/>
          <w:sz w:val="22"/>
          <w:lang w:val="bg-BG"/>
        </w:rPr>
      </w:pPr>
      <w:r>
        <w:rPr>
          <w:rFonts w:cs="Arial" w:ascii="Arial" w:hAnsi="Arial"/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b/>
          <w:sz w:val="22"/>
          <w:u w:val="single"/>
          <w:lang w:val="bg-BG"/>
        </w:rPr>
        <w:t xml:space="preserve">КОНТРОЛ НА ДОКУМЕНТИТЕ ПО ИНТЕГРИРАНА СИСТЕМА ЗА УПРАВЛЕНИЕ 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УПР по ИСУ</w:t>
      </w:r>
      <w:r>
        <w:rPr>
          <w:sz w:val="22"/>
        </w:rPr>
        <w:t xml:space="preserve"> издава контролирани копия на гореспоменатите документи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 xml:space="preserve">система за </w:t>
      </w:r>
      <w:r>
        <w:rPr>
          <w:sz w:val="22"/>
          <w:lang w:val="bg-BG"/>
        </w:rPr>
        <w:t>управление</w:t>
      </w:r>
      <w:r>
        <w:rPr>
          <w:sz w:val="22"/>
        </w:rPr>
        <w:t xml:space="preserve">. </w:t>
      </w:r>
      <w:r>
        <w:rPr>
          <w:sz w:val="22"/>
          <w:lang w:val="bg-BG"/>
        </w:rPr>
        <w:t xml:space="preserve">Когато </w:t>
      </w:r>
      <w:r>
        <w:rPr>
          <w:sz w:val="22"/>
        </w:rPr>
        <w:t xml:space="preserve">се правят промени в </w:t>
      </w:r>
      <w:r>
        <w:rPr>
          <w:sz w:val="22"/>
          <w:lang w:val="bg-BG"/>
        </w:rPr>
        <w:t>експертните</w:t>
      </w:r>
      <w:r>
        <w:rPr>
          <w:sz w:val="22"/>
        </w:rPr>
        <w:t xml:space="preserve"> документи, определени получатели получават модифицираните версии от </w:t>
      </w:r>
      <w:r>
        <w:rPr>
          <w:sz w:val="22"/>
          <w:lang w:val="bg-BG"/>
        </w:rPr>
        <w:t>УПР по ИСУ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Ако някой вътрешен / външен </w:t>
      </w:r>
      <w:r>
        <w:rPr>
          <w:sz w:val="22"/>
          <w:lang w:val="bg-BG"/>
        </w:rPr>
        <w:t xml:space="preserve">за Организацията </w:t>
      </w:r>
      <w:r>
        <w:rPr>
          <w:sz w:val="22"/>
        </w:rPr>
        <w:t>човек</w:t>
      </w:r>
      <w:r>
        <w:rPr>
          <w:sz w:val="22"/>
          <w:lang w:val="bg-BG"/>
        </w:rPr>
        <w:t>,</w:t>
      </w:r>
      <w:r>
        <w:rPr>
          <w:sz w:val="22"/>
        </w:rPr>
        <w:t xml:space="preserve"> желае да се позове на </w:t>
      </w:r>
      <w:r>
        <w:rPr>
          <w:sz w:val="22"/>
          <w:lang w:val="bg-BG"/>
        </w:rPr>
        <w:t>Наръчника</w:t>
      </w:r>
      <w:r>
        <w:rPr>
          <w:sz w:val="22"/>
        </w:rPr>
        <w:t xml:space="preserve">, </w:t>
      </w:r>
      <w:r>
        <w:rPr>
          <w:sz w:val="22"/>
          <w:lang w:val="bg-BG"/>
        </w:rPr>
        <w:t>по усмотрение на УПР по ИСУ</w:t>
      </w:r>
      <w:r>
        <w:rPr>
          <w:sz w:val="22"/>
        </w:rPr>
        <w:t xml:space="preserve">, може да му / й се позволи достъп до документацията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 xml:space="preserve">система за </w:t>
      </w:r>
      <w:r>
        <w:rPr>
          <w:sz w:val="22"/>
          <w:lang w:val="bg-BG"/>
        </w:rPr>
        <w:t>управление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ИСУ</w:t>
      </w:r>
      <w:r>
        <w:rPr>
          <w:b/>
          <w:sz w:val="22"/>
          <w:u w:val="single"/>
        </w:rPr>
        <w:t xml:space="preserve"> ДОКУМЕНТИ</w:t>
      </w:r>
      <w:r>
        <w:rPr>
          <w:b/>
          <w:sz w:val="22"/>
          <w:u w:val="single"/>
          <w:lang w:val="bg-BG"/>
        </w:rPr>
        <w:t>,</w:t>
      </w:r>
      <w:r>
        <w:rPr>
          <w:b/>
          <w:sz w:val="22"/>
          <w:u w:val="single"/>
        </w:rPr>
        <w:t xml:space="preserve"> КОНТРОЛИРАНИ ОТ ДРУГ</w:t>
      </w:r>
      <w:r>
        <w:rPr>
          <w:b/>
          <w:sz w:val="22"/>
          <w:u w:val="single"/>
          <w:lang w:val="bg-BG"/>
        </w:rPr>
        <w:t>И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           „</w:t>
      </w:r>
      <w:r>
        <w:rPr>
          <w:sz w:val="22"/>
          <w:lang w:val="bg-BG"/>
        </w:rPr>
        <w:t xml:space="preserve">Братя Панчеви“ ООД </w:t>
      </w:r>
      <w:r>
        <w:rPr>
          <w:sz w:val="22"/>
        </w:rPr>
        <w:t xml:space="preserve">разбира нуждата от по-голяма оперативна гъвкавост, и в същото време, по-високо ниво на надеждност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 xml:space="preserve">система, когато става въпрос за поддържане на документирана информация, необходима за </w:t>
      </w:r>
      <w:r>
        <w:rPr>
          <w:sz w:val="22"/>
          <w:lang w:val="bg-BG"/>
        </w:rPr>
        <w:t>И</w:t>
      </w:r>
      <w:r>
        <w:rPr>
          <w:sz w:val="22"/>
        </w:rPr>
        <w:t>СУ.</w:t>
      </w:r>
    </w:p>
    <w:p>
      <w:pPr>
        <w:pStyle w:val="Normal"/>
        <w:tabs>
          <w:tab w:val="clear" w:pos="720"/>
          <w:tab w:val="left" w:pos="9781" w:leader="none"/>
        </w:tabs>
        <w:ind w:end="42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           </w:t>
      </w:r>
      <w:r>
        <w:rPr>
          <w:sz w:val="22"/>
          <w:lang w:val="bg-BG"/>
        </w:rPr>
        <w:t>УПР по ИСУ</w:t>
      </w:r>
      <w:r>
        <w:rPr>
          <w:sz w:val="22"/>
        </w:rPr>
        <w:t xml:space="preserve"> издава документи на </w:t>
      </w:r>
      <w:r>
        <w:rPr>
          <w:sz w:val="22"/>
          <w:lang w:val="bg-BG"/>
        </w:rPr>
        <w:t xml:space="preserve">ИСУ, </w:t>
      </w:r>
      <w:r>
        <w:rPr>
          <w:sz w:val="22"/>
        </w:rPr>
        <w:t>които са приложими за цялата организация.</w:t>
      </w:r>
    </w:p>
    <w:p>
      <w:pPr>
        <w:pStyle w:val="Normal"/>
        <w:tabs>
          <w:tab w:val="clear" w:pos="720"/>
          <w:tab w:val="left" w:pos="9781" w:leader="none"/>
        </w:tabs>
        <w:ind w:end="42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both"/>
        <w:rPr/>
      </w:pPr>
      <w:r>
        <w:rPr>
          <w:sz w:val="22"/>
          <w:lang w:val="bg-BG"/>
        </w:rPr>
        <w:t xml:space="preserve">           </w:t>
      </w:r>
      <w:r>
        <w:rPr>
          <w:sz w:val="22"/>
        </w:rPr>
        <w:t>Ръководители</w:t>
      </w:r>
      <w:r>
        <w:rPr>
          <w:sz w:val="22"/>
          <w:lang w:val="bg-BG"/>
        </w:rPr>
        <w:t>те</w:t>
      </w:r>
      <w:r>
        <w:rPr>
          <w:sz w:val="22"/>
        </w:rPr>
        <w:t xml:space="preserve"> на отдели действат като администратори на документи на ниво</w:t>
      </w:r>
      <w:r>
        <w:rPr>
          <w:sz w:val="22"/>
          <w:lang w:val="bg-BG"/>
        </w:rPr>
        <w:t xml:space="preserve"> отдел</w:t>
      </w:r>
      <w:r>
        <w:rPr>
          <w:sz w:val="22"/>
        </w:rPr>
        <w:t xml:space="preserve">. Индивидуалните контролери </w:t>
      </w:r>
      <w:r>
        <w:rPr>
          <w:sz w:val="22"/>
          <w:lang w:val="bg-BG"/>
        </w:rPr>
        <w:t xml:space="preserve">на </w:t>
      </w:r>
      <w:r>
        <w:rPr>
          <w:sz w:val="22"/>
        </w:rPr>
        <w:t xml:space="preserve">документи могат да контролират документите на </w:t>
      </w:r>
      <w:r>
        <w:rPr>
          <w:sz w:val="22"/>
          <w:lang w:val="bg-BG"/>
        </w:rPr>
        <w:t>ИСУ</w:t>
      </w:r>
      <w:r>
        <w:rPr>
          <w:sz w:val="22"/>
        </w:rPr>
        <w:t xml:space="preserve">, изисквани от техните функционални </w:t>
      </w:r>
      <w:r>
        <w:rPr>
          <w:sz w:val="22"/>
          <w:lang w:val="bg-BG"/>
        </w:rPr>
        <w:t>отдели</w:t>
      </w:r>
      <w:r>
        <w:rPr>
          <w:sz w:val="22"/>
        </w:rPr>
        <w:t xml:space="preserve">. Така например, </w:t>
      </w:r>
      <w:r>
        <w:rPr>
          <w:sz w:val="22"/>
          <w:lang w:val="bg-BG"/>
        </w:rPr>
        <w:t>Р</w:t>
      </w:r>
      <w:r>
        <w:rPr>
          <w:sz w:val="22"/>
        </w:rPr>
        <w:t>ъководител</w:t>
      </w:r>
      <w:r>
        <w:rPr>
          <w:sz w:val="22"/>
          <w:lang w:val="bg-BG"/>
        </w:rPr>
        <w:t>, отдел проектиране и разработка</w:t>
      </w:r>
      <w:r>
        <w:rPr>
          <w:sz w:val="22"/>
        </w:rPr>
        <w:t xml:space="preserve"> издава инженерни чертежи, които се използват от отделите </w:t>
      </w:r>
      <w:r>
        <w:rPr>
          <w:sz w:val="22"/>
          <w:lang w:val="bg-BG"/>
        </w:rPr>
        <w:t>Проектиране и разработка</w:t>
      </w:r>
      <w:r>
        <w:rPr>
          <w:sz w:val="22"/>
        </w:rPr>
        <w:t>.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            </w:t>
      </w:r>
      <w:r>
        <w:rPr>
          <w:sz w:val="22"/>
          <w:lang w:val="bg-BG"/>
        </w:rPr>
        <w:t xml:space="preserve">Всички индивидуални контролери, </w:t>
      </w:r>
      <w:r>
        <w:rPr>
          <w:sz w:val="22"/>
        </w:rPr>
        <w:t>също следват подобн</w:t>
      </w:r>
      <w:r>
        <w:rPr>
          <w:sz w:val="22"/>
          <w:lang w:val="bg-BG"/>
        </w:rPr>
        <w:t>а</w:t>
      </w:r>
      <w:r>
        <w:rPr>
          <w:sz w:val="22"/>
        </w:rPr>
        <w:t xml:space="preserve"> (не е необходимо да бъде точно същата) структура и </w:t>
      </w:r>
      <w:r>
        <w:rPr>
          <w:sz w:val="22"/>
          <w:lang w:val="bg-BG"/>
        </w:rPr>
        <w:t>схема</w:t>
      </w:r>
      <w:r>
        <w:rPr>
          <w:sz w:val="22"/>
        </w:rPr>
        <w:t xml:space="preserve">, </w:t>
      </w:r>
      <w:r>
        <w:rPr>
          <w:sz w:val="22"/>
          <w:lang w:val="bg-BG"/>
        </w:rPr>
        <w:t xml:space="preserve">като документираната информация е под </w:t>
      </w:r>
      <w:r>
        <w:rPr>
          <w:sz w:val="22"/>
        </w:rPr>
        <w:t>неговия / нейния контрол</w:t>
      </w:r>
      <w:r>
        <w:rPr>
          <w:sz w:val="22"/>
          <w:lang w:val="bg-BG"/>
        </w:rPr>
        <w:t>, но при задължително съгласуване с УПР по ИСУ.</w:t>
      </w:r>
    </w:p>
    <w:p>
      <w:pPr>
        <w:pStyle w:val="Normal"/>
        <w:tabs>
          <w:tab w:val="clear" w:pos="720"/>
          <w:tab w:val="left" w:pos="9781" w:leader="none"/>
        </w:tabs>
        <w:ind w:end="42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          </w:t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8"/>
          <w:lang w:val="bg-BG"/>
        </w:rPr>
      </w:pPr>
      <w:r>
        <w:rPr>
          <w:sz w:val="8"/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615" w:footer="89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2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2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3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-406400</wp:posOffset>
              </wp:positionV>
              <wp:extent cx="6318250" cy="1361440"/>
              <wp:effectExtent l="0" t="0" r="0" b="0"/>
              <wp:wrapNone/>
              <wp:docPr id="4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6144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 xml:space="preserve">ИНТЕГРИРАНА СИСТЕМА ЗА УПРАВЛЕНИЕ НА КАЧЕСТВОТО И ОКОЛНАТА СРЕДА 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Р</w:t>
                                </w: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АЗПРЕДЕЛЕНИЕ НА ИСУ ДОКУМЕНТИ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7.2pt;mso-wrap-distance-left:9.05pt;mso-wrap-distance-right:9.05pt;mso-wrap-distance-top:0pt;mso-wrap-distance-bottom:0pt;margin-top:-32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 xml:space="preserve">ИНТЕГРИРАНА СИСТЕМА ЗА УПРАВЛЕНИЕ НА КАЧЕСТВОТО И ОКОЛНАТА СРЕДА 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Р</w:t>
                          </w: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АЗПРЕДЕЛЕНИЕ НА ИСУ ДОКУМЕНТИ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character" w:styleId="WW8Num1z0">
    <w:name w:val="WW8Num1z0"/>
    <w:qFormat/>
    <w:rPr>
      <w:u w:val="single"/>
    </w:rPr>
  </w:style>
  <w:style w:type="character" w:styleId="Style12">
    <w:name w:val="Шрифт на абзаца по подразбиране"/>
    <w:qFormat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2001-08-23T14:29:00Z</dcterms:created>
  <dc:creator>ws</dc:creator>
  <dc:description/>
  <cp:keywords/>
  <dc:language>bg-BG</dc:language>
  <cp:lastModifiedBy>Nikolay Trayanov</cp:lastModifiedBy>
  <cp:lastPrinted>2017-02-27T13:58:00Z</cp:lastPrinted>
  <dcterms:modified xsi:type="dcterms:W3CDTF">2023-07-11T14:39:00Z</dcterms:modified>
  <cp:revision>63</cp:revision>
  <dc:subject/>
  <dc:title>1</dc:title>
</cp:coreProperties>
</file>