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Да се гарантира, че е въведена интегрирана система за лицата и техните пълномощия и отговорности и те са съобщени и са разбрани в рамките на Организацията.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Свързани дейности с управлението на качеството и опазването на околната среда.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ОПРЕДЕЛЕНИЯ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color w:val="FF0000"/>
          <w:sz w:val="22"/>
        </w:rPr>
      </w:pPr>
      <w:r>
        <w:rPr>
          <w:color w:val="FF0000"/>
          <w:sz w:val="22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– </w:t>
      </w:r>
      <w:r>
        <w:rPr>
          <w:sz w:val="22"/>
          <w:lang w:val="bg-BG"/>
        </w:rPr>
        <w:t xml:space="preserve">Клауза </w:t>
      </w:r>
      <w:r>
        <w:rPr>
          <w:sz w:val="22"/>
        </w:rPr>
        <w:t xml:space="preserve">5.3: </w:t>
      </w:r>
      <w:r>
        <w:rPr>
          <w:sz w:val="22"/>
          <w:lang w:val="bg-BG"/>
        </w:rPr>
        <w:t>Роли, отговорности и пълномощия в Организацията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ab/>
        <w:tab/>
        <w:t xml:space="preserve">   </w:t>
      </w:r>
      <w:r>
        <w:rPr>
          <w:sz w:val="22"/>
        </w:rPr>
        <w:t>ISO</w:t>
      </w:r>
      <w:r>
        <w:rPr>
          <w:sz w:val="22"/>
          <w:lang w:val="bg-BG"/>
        </w:rPr>
        <w:t>14</w:t>
      </w:r>
      <w:r>
        <w:rPr>
          <w:sz w:val="22"/>
        </w:rPr>
        <w:t>001:2015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Управител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е отговорен за цялостното изпълнение на тази процедура в </w:t>
      </w:r>
      <w:r>
        <w:rPr>
          <w:sz w:val="22"/>
          <w:lang w:val="bg-BG"/>
        </w:rPr>
        <w:t>О</w:t>
      </w:r>
      <w:r>
        <w:rPr>
          <w:sz w:val="22"/>
        </w:rPr>
        <w:t>рганизацията.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е </w:t>
      </w:r>
      <w:r>
        <w:rPr>
          <w:sz w:val="22"/>
          <w:lang w:val="bg-BG"/>
        </w:rPr>
        <w:t xml:space="preserve">упълномощен </w:t>
      </w:r>
      <w:r>
        <w:rPr>
          <w:sz w:val="22"/>
        </w:rPr>
        <w:t xml:space="preserve">да възлага / модифицира </w:t>
      </w:r>
      <w:r>
        <w:rPr>
          <w:sz w:val="22"/>
          <w:lang w:val="bg-BG"/>
        </w:rPr>
        <w:t xml:space="preserve">и </w:t>
      </w:r>
      <w:r>
        <w:rPr>
          <w:sz w:val="22"/>
        </w:rPr>
        <w:t xml:space="preserve">/ или </w:t>
      </w:r>
      <w:r>
        <w:rPr>
          <w:sz w:val="22"/>
          <w:lang w:val="bg-BG"/>
        </w:rPr>
        <w:t>определя задължения</w:t>
      </w:r>
      <w:r>
        <w:rPr>
          <w:sz w:val="22"/>
        </w:rPr>
        <w:t xml:space="preserve"> на всяко лице, което работи за организацията.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човешки ресурси (РЧР)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</w:rPr>
      </w:pPr>
      <w:r>
        <w:rPr>
          <w:sz w:val="22"/>
          <w:lang w:val="bg-BG"/>
        </w:rPr>
        <w:t>РЧР</w:t>
      </w:r>
      <w:r>
        <w:rPr>
          <w:sz w:val="22"/>
        </w:rPr>
        <w:t xml:space="preserve"> е отговорен за </w:t>
      </w:r>
      <w:r>
        <w:rPr>
          <w:sz w:val="22"/>
          <w:lang w:val="bg-BG"/>
        </w:rPr>
        <w:t xml:space="preserve">възлагането на правомощия и отговорности </w:t>
      </w:r>
      <w:r>
        <w:rPr>
          <w:sz w:val="22"/>
        </w:rPr>
        <w:t xml:space="preserve">на персонала и </w:t>
      </w:r>
      <w:r>
        <w:rPr>
          <w:sz w:val="22"/>
          <w:lang w:val="bg-BG"/>
        </w:rPr>
        <w:t xml:space="preserve">на </w:t>
      </w:r>
      <w:r>
        <w:rPr>
          <w:sz w:val="22"/>
        </w:rPr>
        <w:t>други заинтересовани лица.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</w:t>
      </w:r>
      <w:r>
        <w:rPr>
          <w:sz w:val="22"/>
        </w:rPr>
        <w:t>ъководство</w:t>
      </w:r>
      <w:r>
        <w:rPr>
          <w:sz w:val="22"/>
          <w:lang w:val="bg-BG"/>
        </w:rPr>
        <w:t>то на Организацията</w:t>
      </w:r>
      <w:r>
        <w:rPr>
          <w:sz w:val="22"/>
        </w:rPr>
        <w:t xml:space="preserve"> гарантира, че</w:t>
      </w:r>
      <w:r>
        <w:rPr>
          <w:sz w:val="22"/>
          <w:lang w:val="bg-BG"/>
        </w:rPr>
        <w:t xml:space="preserve"> правомощията и отговорностите са възложени на съответните лица и са съобщени и разбрани в рамиките на Организацията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възлага </w:t>
      </w:r>
      <w:r>
        <w:rPr>
          <w:sz w:val="22"/>
          <w:lang w:val="bg-BG"/>
        </w:rPr>
        <w:t>правомощия и отговорности</w:t>
      </w:r>
      <w:r>
        <w:rPr>
          <w:sz w:val="22"/>
        </w:rPr>
        <w:t xml:space="preserve"> за: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a) да гарантира, че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 xml:space="preserve">системата за управление на качеството </w:t>
      </w:r>
      <w:r>
        <w:rPr>
          <w:sz w:val="22"/>
          <w:lang w:val="bg-BG"/>
        </w:rPr>
        <w:t xml:space="preserve">и околната среда е </w:t>
      </w:r>
      <w:r>
        <w:rPr>
          <w:sz w:val="22"/>
        </w:rPr>
        <w:t xml:space="preserve">в съответствие с изискванията на </w:t>
      </w:r>
      <w:r>
        <w:rPr>
          <w:sz w:val="22"/>
          <w:lang w:val="bg-BG"/>
        </w:rPr>
        <w:t xml:space="preserve">Стандарт </w:t>
      </w:r>
      <w:r>
        <w:rPr>
          <w:sz w:val="22"/>
        </w:rPr>
        <w:t>ISO 9001: 2015</w:t>
      </w:r>
      <w:r>
        <w:rPr>
          <w:sz w:val="22"/>
          <w:lang w:val="bg-BG"/>
        </w:rPr>
        <w:t xml:space="preserve"> и </w:t>
      </w:r>
      <w:r>
        <w:rPr>
          <w:sz w:val="22"/>
        </w:rPr>
        <w:t xml:space="preserve">ISO </w:t>
      </w:r>
      <w:r>
        <w:rPr>
          <w:sz w:val="22"/>
          <w:lang w:val="bg-BG"/>
        </w:rPr>
        <w:t>14</w:t>
      </w:r>
      <w:r>
        <w:rPr>
          <w:sz w:val="22"/>
        </w:rPr>
        <w:t>001: 2015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b) да гарантира, че процесите </w:t>
      </w:r>
      <w:r>
        <w:rPr>
          <w:sz w:val="22"/>
          <w:lang w:val="bg-BG"/>
        </w:rPr>
        <w:t xml:space="preserve">осигуряват </w:t>
      </w:r>
      <w:r>
        <w:rPr>
          <w:sz w:val="22"/>
        </w:rPr>
        <w:t>планираните продукти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c) отчитане на изпълнението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 xml:space="preserve"> и на възможностите за подобрение, по-специално на </w:t>
      </w:r>
      <w:r>
        <w:rPr>
          <w:sz w:val="22"/>
          <w:lang w:val="bg-BG"/>
        </w:rPr>
        <w:t>Ръководството на Организацията;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d) насърчаване на фокус върху клиентите в цялата </w:t>
      </w:r>
      <w:r>
        <w:rPr>
          <w:sz w:val="22"/>
          <w:lang w:val="bg-BG"/>
        </w:rPr>
        <w:t>О</w:t>
      </w:r>
      <w:r>
        <w:rPr>
          <w:sz w:val="22"/>
        </w:rPr>
        <w:t>рганизация</w:t>
      </w:r>
      <w:r>
        <w:rPr>
          <w:sz w:val="22"/>
          <w:lang w:val="bg-BG"/>
        </w:rPr>
        <w:t>;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e) да гарантира, че ц</w:t>
      </w:r>
      <w:r>
        <w:rPr>
          <w:sz w:val="22"/>
          <w:lang w:val="bg-BG"/>
        </w:rPr>
        <w:t>я</w:t>
      </w:r>
      <w:r>
        <w:rPr>
          <w:sz w:val="22"/>
        </w:rPr>
        <w:t xml:space="preserve">лостта на </w:t>
      </w:r>
      <w:r>
        <w:rPr>
          <w:sz w:val="22"/>
          <w:lang w:val="bg-BG"/>
        </w:rPr>
        <w:t xml:space="preserve">интегрираната </w:t>
      </w:r>
      <w:r>
        <w:rPr>
          <w:sz w:val="22"/>
        </w:rPr>
        <w:t>система за управление на качеството</w:t>
      </w:r>
      <w:r>
        <w:rPr>
          <w:sz w:val="22"/>
          <w:lang w:val="bg-BG"/>
        </w:rPr>
        <w:t xml:space="preserve"> и околната среда</w:t>
      </w:r>
      <w:r>
        <w:rPr>
          <w:sz w:val="22"/>
        </w:rPr>
        <w:t xml:space="preserve"> се поддържа</w:t>
      </w:r>
      <w:r>
        <w:rPr>
          <w:sz w:val="22"/>
          <w:lang w:val="bg-BG"/>
        </w:rPr>
        <w:t xml:space="preserve"> и планираните промени се</w:t>
      </w:r>
      <w:r>
        <w:rPr>
          <w:sz w:val="22"/>
        </w:rPr>
        <w:t xml:space="preserve"> осъществяват.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er"/>
        <w:tabs>
          <w:tab w:val="clear" w:pos="4320"/>
          <w:tab w:val="clear" w:pos="8640"/>
        </w:tabs>
        <w:rPr/>
      </w:pPr>
      <w:r>
        <w:rPr>
          <w:b/>
          <w:sz w:val="22"/>
          <w:u w:val="single"/>
          <w:lang w:val="bg-BG"/>
        </w:rPr>
        <w:t>Свързани ИСУ пълномощия и отговорности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720" w:end="0"/>
        <w:rPr>
          <w:b/>
          <w:sz w:val="22"/>
          <w:u w:val="single"/>
          <w:lang w:val="bg-BG"/>
        </w:rPr>
      </w:pPr>
      <w:r>
        <w:rPr>
          <w:sz w:val="22"/>
          <w:lang w:val="bg-BG"/>
        </w:rPr>
        <w:t>Управителят</w:t>
      </w:r>
      <w:r>
        <w:rPr>
          <w:sz w:val="22"/>
        </w:rPr>
        <w:t xml:space="preserve"> е </w:t>
      </w:r>
      <w:r>
        <w:rPr>
          <w:sz w:val="22"/>
          <w:lang w:val="bg-BG"/>
        </w:rPr>
        <w:t>Началник по ИСУ</w:t>
      </w:r>
      <w:r>
        <w:rPr>
          <w:sz w:val="22"/>
        </w:rPr>
        <w:t xml:space="preserve"> на </w:t>
      </w:r>
      <w:r>
        <w:rPr>
          <w:sz w:val="22"/>
          <w:lang w:val="bg-BG"/>
        </w:rPr>
        <w:t>О</w:t>
      </w:r>
      <w:r>
        <w:rPr>
          <w:sz w:val="22"/>
        </w:rPr>
        <w:t>рганизацията</w:t>
      </w:r>
      <w:r>
        <w:rPr>
          <w:sz w:val="22"/>
          <w:lang w:val="bg-BG"/>
        </w:rPr>
        <w:t>.</w:t>
      </w:r>
    </w:p>
    <w:p>
      <w:pPr>
        <w:pStyle w:val="Header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jc w:val="both"/>
        <w:rPr/>
      </w:pPr>
      <w:r>
        <w:rPr>
          <w:sz w:val="22"/>
          <w:lang w:val="bg-BG"/>
        </w:rPr>
        <w:tab/>
        <w:t xml:space="preserve">            Отговорникът по ИСУ</w:t>
      </w:r>
      <w:r>
        <w:rPr>
          <w:sz w:val="22"/>
        </w:rPr>
        <w:t xml:space="preserve"> е </w:t>
      </w:r>
      <w:r>
        <w:rPr>
          <w:sz w:val="22"/>
          <w:lang w:val="bg-BG"/>
        </w:rPr>
        <w:t xml:space="preserve">изцяло отговорен </w:t>
      </w:r>
      <w:r>
        <w:rPr>
          <w:sz w:val="22"/>
        </w:rPr>
        <w:t xml:space="preserve">ефективното изпълнение на </w:t>
      </w:r>
      <w:r>
        <w:rPr>
          <w:sz w:val="22"/>
          <w:lang w:val="bg-BG"/>
        </w:rPr>
        <w:t>И</w:t>
      </w:r>
      <w:r>
        <w:rPr>
          <w:sz w:val="22"/>
        </w:rPr>
        <w:t>СУ, и той / тя е упълномощен да предоставя ресурси за същото.</w:t>
      </w:r>
    </w:p>
    <w:p>
      <w:pPr>
        <w:pStyle w:val="Header"/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jc w:val="both"/>
        <w:rPr>
          <w:sz w:val="22"/>
        </w:rPr>
      </w:pPr>
      <w:r>
        <w:rPr>
          <w:sz w:val="22"/>
          <w:lang w:val="bg-BG"/>
        </w:rPr>
        <w:t xml:space="preserve">            </w:t>
      </w:r>
      <w:r>
        <w:rPr>
          <w:sz w:val="22"/>
        </w:rPr>
        <w:t>Ръководители</w:t>
      </w:r>
      <w:r>
        <w:rPr>
          <w:sz w:val="22"/>
          <w:lang w:val="bg-BG"/>
        </w:rPr>
        <w:t>те</w:t>
      </w:r>
      <w:r>
        <w:rPr>
          <w:sz w:val="22"/>
        </w:rPr>
        <w:t xml:space="preserve"> на отдели са отговорни за ефективното изпълнение на </w:t>
      </w:r>
      <w:r>
        <w:rPr>
          <w:sz w:val="22"/>
          <w:lang w:val="bg-BG"/>
        </w:rPr>
        <w:t>И</w:t>
      </w:r>
      <w:r>
        <w:rPr>
          <w:sz w:val="22"/>
        </w:rPr>
        <w:t>СУ в техните функционални области, и са упълномощени да предоставят средства за същото.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Роли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jc w:val="both"/>
        <w:rPr/>
      </w:pPr>
      <w:r>
        <w:rPr>
          <w:sz w:val="22"/>
          <w:lang w:val="bg-BG"/>
        </w:rPr>
        <w:tab/>
        <w:t xml:space="preserve">             </w:t>
      </w:r>
      <w:r>
        <w:rPr>
          <w:sz w:val="22"/>
        </w:rPr>
        <w:t xml:space="preserve">Ролята на дадено лице до голяма степен е отразено в </w:t>
      </w:r>
      <w:r>
        <w:rPr>
          <w:sz w:val="22"/>
          <w:lang w:val="bg-BG"/>
        </w:rPr>
        <w:t>длъжността, която заема в Организацията</w:t>
      </w:r>
      <w:r>
        <w:rPr>
          <w:sz w:val="22"/>
        </w:rPr>
        <w:t>.</w:t>
      </w:r>
    </w:p>
    <w:p>
      <w:pPr>
        <w:pStyle w:val="Header"/>
        <w:rPr>
          <w:sz w:val="22"/>
        </w:rPr>
      </w:pPr>
      <w:r>
        <w:rPr>
          <w:sz w:val="22"/>
        </w:rPr>
      </w:r>
    </w:p>
    <w:p>
      <w:pPr>
        <w:pStyle w:val="Header"/>
        <w:tabs>
          <w:tab w:val="clear" w:pos="4320"/>
          <w:tab w:val="clear" w:pos="8640"/>
        </w:tabs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Например, ролята на </w:t>
      </w:r>
      <w:r>
        <w:rPr>
          <w:sz w:val="22"/>
          <w:lang w:val="bg-BG"/>
        </w:rPr>
        <w:t>Р</w:t>
      </w:r>
      <w:r>
        <w:rPr>
          <w:sz w:val="22"/>
        </w:rPr>
        <w:t xml:space="preserve">ъководител </w:t>
      </w:r>
      <w:r>
        <w:rPr>
          <w:sz w:val="22"/>
          <w:lang w:val="bg-BG"/>
        </w:rPr>
        <w:t>Дизайн и развитие</w:t>
      </w:r>
      <w:r>
        <w:rPr>
          <w:sz w:val="22"/>
        </w:rPr>
        <w:t xml:space="preserve"> е да </w:t>
      </w:r>
      <w:r>
        <w:rPr>
          <w:sz w:val="22"/>
          <w:lang w:val="bg-BG"/>
        </w:rPr>
        <w:t>ръководи Отдела по Дизайн и развитие и да отговаря за дейностите на отдела пред Ръководството</w:t>
      </w:r>
      <w:r>
        <w:rPr>
          <w:sz w:val="22"/>
        </w:rPr>
        <w:t>.</w:t>
      </w:r>
    </w:p>
    <w:p>
      <w:pPr>
        <w:pStyle w:val="Header"/>
        <w:tabs>
          <w:tab w:val="clear" w:pos="4320"/>
          <w:tab w:val="clear" w:pos="8640"/>
        </w:tabs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Отговорности</w:t>
      </w:r>
    </w:p>
    <w:p>
      <w:pPr>
        <w:pStyle w:val="Header"/>
        <w:tabs>
          <w:tab w:val="clear" w:pos="4320"/>
          <w:tab w:val="clear" w:pos="8640"/>
        </w:tabs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360" w:end="0"/>
        <w:rPr>
          <w:sz w:val="22"/>
          <w:lang w:val="bg-BG"/>
        </w:rPr>
      </w:pPr>
      <w:r>
        <w:rPr>
          <w:sz w:val="22"/>
          <w:lang w:val="bg-BG"/>
        </w:rPr>
        <w:t>Отговорностите се делят на два вида, а именно: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3"/>
        </w:numPr>
        <w:rPr>
          <w:sz w:val="22"/>
        </w:rPr>
      </w:pPr>
      <w:r>
        <w:rPr>
          <w:b/>
          <w:sz w:val="22"/>
          <w:u w:val="single"/>
        </w:rPr>
        <w:t>Oсновната отговорност</w:t>
      </w:r>
      <w:r>
        <w:rPr>
          <w:sz w:val="22"/>
        </w:rPr>
        <w:t xml:space="preserve">: </w:t>
      </w:r>
      <w:r>
        <w:rPr>
          <w:sz w:val="22"/>
          <w:lang w:val="bg-BG"/>
        </w:rPr>
        <w:t>Л</w:t>
      </w:r>
      <w:r>
        <w:rPr>
          <w:sz w:val="22"/>
        </w:rPr>
        <w:t>ицето е "първият отговорен" за всяка конкретна дейност.</w:t>
      </w:r>
    </w:p>
    <w:p>
      <w:pPr>
        <w:pStyle w:val="Header"/>
        <w:tabs>
          <w:tab w:val="clear" w:pos="4320"/>
          <w:tab w:val="clear" w:pos="8640"/>
        </w:tabs>
        <w:rPr>
          <w:sz w:val="12"/>
        </w:rPr>
      </w:pPr>
      <w:r>
        <w:rPr>
          <w:sz w:val="12"/>
        </w:rPr>
      </w:r>
    </w:p>
    <w:p>
      <w:pPr>
        <w:pStyle w:val="Normal"/>
        <w:numPr>
          <w:ilvl w:val="0"/>
          <w:numId w:val="3"/>
        </w:numPr>
        <w:jc w:val="both"/>
        <w:rPr>
          <w:sz w:val="22"/>
        </w:rPr>
      </w:pPr>
      <w:r>
        <w:rPr>
          <w:b/>
          <w:sz w:val="22"/>
          <w:u w:val="single"/>
        </w:rPr>
        <w:t>Вт</w:t>
      </w:r>
      <w:r>
        <w:rPr>
          <w:b/>
          <w:sz w:val="22"/>
          <w:u w:val="single"/>
          <w:lang w:val="bg-BG"/>
        </w:rPr>
        <w:t>оростепенна</w:t>
      </w:r>
      <w:r>
        <w:rPr>
          <w:b/>
          <w:sz w:val="22"/>
          <w:u w:val="single"/>
        </w:rPr>
        <w:t xml:space="preserve"> </w:t>
      </w:r>
      <w:r>
        <w:rPr>
          <w:b/>
          <w:sz w:val="22"/>
          <w:u w:val="single"/>
          <w:lang w:val="bg-BG"/>
        </w:rPr>
        <w:t>о</w:t>
      </w:r>
      <w:r>
        <w:rPr>
          <w:b/>
          <w:sz w:val="22"/>
          <w:u w:val="single"/>
        </w:rPr>
        <w:t>тговорност</w:t>
      </w:r>
      <w:r>
        <w:rPr>
          <w:sz w:val="22"/>
        </w:rPr>
        <w:t xml:space="preserve">: </w:t>
      </w:r>
      <w:r>
        <w:rPr>
          <w:sz w:val="22"/>
          <w:lang w:val="bg-BG"/>
        </w:rPr>
        <w:t>Л</w:t>
      </w:r>
      <w:r>
        <w:rPr>
          <w:sz w:val="22"/>
        </w:rPr>
        <w:t>ицето е "следващ</w:t>
      </w:r>
      <w:r>
        <w:rPr>
          <w:sz w:val="22"/>
          <w:lang w:val="bg-BG"/>
        </w:rPr>
        <w:t>ият</w:t>
      </w:r>
      <w:r>
        <w:rPr>
          <w:sz w:val="22"/>
        </w:rPr>
        <w:t xml:space="preserve"> отговорен" за всяка конкретна дейност</w:t>
      </w:r>
      <w:r>
        <w:rPr>
          <w:sz w:val="22"/>
          <w:lang w:val="bg-BG"/>
        </w:rPr>
        <w:t>,</w:t>
      </w:r>
      <w:r>
        <w:rPr>
          <w:sz w:val="22"/>
        </w:rPr>
        <w:t xml:space="preserve"> в случай</w:t>
      </w:r>
      <w:r>
        <w:rPr>
          <w:sz w:val="22"/>
          <w:lang w:val="bg-BG"/>
        </w:rPr>
        <w:t xml:space="preserve"> че</w:t>
      </w:r>
      <w:r>
        <w:rPr>
          <w:sz w:val="22"/>
        </w:rPr>
        <w:t xml:space="preserve"> "първият отговорен" </w:t>
      </w:r>
      <w:r>
        <w:rPr>
          <w:sz w:val="22"/>
          <w:lang w:val="bg-BG"/>
        </w:rPr>
        <w:t xml:space="preserve"> </w:t>
      </w:r>
      <w:r>
        <w:rPr>
          <w:sz w:val="22"/>
        </w:rPr>
        <w:t xml:space="preserve">не е </w:t>
      </w:r>
      <w:r>
        <w:rPr>
          <w:sz w:val="22"/>
          <w:lang w:val="bg-BG"/>
        </w:rPr>
        <w:t>на разположение.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Пълномощия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360" w:end="0"/>
        <w:rPr>
          <w:sz w:val="22"/>
          <w:lang w:val="bg-BG"/>
        </w:rPr>
      </w:pPr>
      <w:r>
        <w:rPr>
          <w:sz w:val="22"/>
          <w:lang w:val="bg-BG"/>
        </w:rPr>
        <w:t>Пълномощията се делят на два вида, а именно: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b/>
          <w:sz w:val="22"/>
          <w:u w:val="single"/>
          <w:lang w:val="bg-BG"/>
        </w:rPr>
        <w:t>Основни пълномощия</w:t>
      </w:r>
      <w:r>
        <w:rPr>
          <w:sz w:val="22"/>
        </w:rPr>
        <w:t xml:space="preserve">: </w:t>
      </w:r>
      <w:r>
        <w:rPr>
          <w:sz w:val="22"/>
          <w:lang w:val="bg-BG"/>
        </w:rPr>
        <w:t xml:space="preserve">Лицето е упълномощено да взима решения. </w:t>
      </w:r>
    </w:p>
    <w:p>
      <w:pPr>
        <w:pStyle w:val="Normal"/>
        <w:rPr>
          <w:sz w:val="12"/>
        </w:rPr>
      </w:pPr>
      <w:r>
        <w:rPr>
          <w:sz w:val="12"/>
        </w:rPr>
      </w:r>
    </w:p>
    <w:p>
      <w:pPr>
        <w:pStyle w:val="Normal"/>
        <w:numPr>
          <w:ilvl w:val="0"/>
          <w:numId w:val="2"/>
        </w:numPr>
        <w:jc w:val="both"/>
        <w:rPr>
          <w:sz w:val="22"/>
        </w:rPr>
      </w:pPr>
      <w:r>
        <w:rPr>
          <w:b/>
          <w:sz w:val="22"/>
          <w:u w:val="single"/>
          <w:lang w:val="bg-BG"/>
        </w:rPr>
        <w:t>Второстепени пълномощия:</w:t>
      </w:r>
      <w:r>
        <w:rPr>
          <w:sz w:val="22"/>
        </w:rPr>
        <w:t xml:space="preserve"> </w:t>
      </w:r>
      <w:r>
        <w:rPr>
          <w:sz w:val="22"/>
          <w:lang w:val="bg-BG"/>
        </w:rPr>
        <w:t>Л</w:t>
      </w:r>
      <w:r>
        <w:rPr>
          <w:sz w:val="22"/>
        </w:rPr>
        <w:t xml:space="preserve">ицето е </w:t>
      </w:r>
      <w:r>
        <w:rPr>
          <w:sz w:val="22"/>
          <w:lang w:val="bg-BG"/>
        </w:rPr>
        <w:t>упълномощено да взима решения при отсъствие на носещия основни правомощия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>
          <w:lang w:val="bg-BG"/>
        </w:rPr>
      </w:pPr>
      <w:r>
        <w:rPr>
          <w:lang w:val="bg-BG"/>
        </w:rPr>
        <w:t>Възлагане на правомощия и отговорности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 xml:space="preserve">Ръководител Човешки ресурси </w:t>
      </w:r>
      <w:r>
        <w:rPr>
          <w:sz w:val="22"/>
        </w:rPr>
        <w:t>подготвя  "</w:t>
      </w:r>
      <w:r>
        <w:rPr>
          <w:sz w:val="22"/>
          <w:lang w:val="bg-BG"/>
        </w:rPr>
        <w:t>Формуляр Отговорности – Длъжностна характеристика</w:t>
      </w:r>
      <w:r>
        <w:rPr>
          <w:sz w:val="22"/>
        </w:rPr>
        <w:t xml:space="preserve"> (Q</w:t>
      </w:r>
      <w:r>
        <w:rPr>
          <w:sz w:val="22"/>
          <w:lang w:val="bg-BG"/>
        </w:rPr>
        <w:t>Е</w:t>
      </w:r>
      <w:r>
        <w:rPr>
          <w:sz w:val="22"/>
        </w:rPr>
        <w:t>MR-QF-PR</w:t>
      </w:r>
      <w:r>
        <w:rPr>
          <w:sz w:val="22"/>
          <w:lang w:val="bg-BG"/>
        </w:rPr>
        <w:t>10</w:t>
      </w:r>
      <w:r>
        <w:rPr>
          <w:sz w:val="22"/>
        </w:rPr>
        <w:t>-001)" за вс</w:t>
      </w:r>
      <w:r>
        <w:rPr>
          <w:sz w:val="22"/>
          <w:lang w:val="bg-BG"/>
        </w:rPr>
        <w:t xml:space="preserve">яко лице, заето в Организацията </w:t>
      </w:r>
      <w:r>
        <w:rPr>
          <w:sz w:val="22"/>
        </w:rPr>
        <w:t xml:space="preserve">въз основа на </w:t>
      </w:r>
      <w:r>
        <w:rPr>
          <w:sz w:val="22"/>
          <w:lang w:val="bg-BG"/>
        </w:rPr>
        <w:t>Длъжността и Длъжностната характеристика</w:t>
      </w:r>
      <w:r>
        <w:rPr>
          <w:sz w:val="22"/>
        </w:rPr>
        <w:t xml:space="preserve">. </w:t>
      </w:r>
      <w:r>
        <w:rPr>
          <w:sz w:val="22"/>
          <w:lang w:val="bg-BG"/>
        </w:rPr>
        <w:t>Необходимо е с</w:t>
      </w:r>
      <w:r>
        <w:rPr>
          <w:sz w:val="22"/>
        </w:rPr>
        <w:t xml:space="preserve">ъщо така, когато </w:t>
      </w:r>
      <w:r>
        <w:rPr>
          <w:sz w:val="22"/>
          <w:lang w:val="bg-BG"/>
        </w:rPr>
        <w:t>дадено лице с</w:t>
      </w:r>
      <w:r>
        <w:rPr>
          <w:sz w:val="22"/>
        </w:rPr>
        <w:t xml:space="preserve">е премества на нова длъжност, тази таблица </w:t>
      </w:r>
      <w:r>
        <w:rPr>
          <w:sz w:val="22"/>
          <w:lang w:val="bg-BG"/>
        </w:rPr>
        <w:t>да с</w:t>
      </w:r>
      <w:r>
        <w:rPr>
          <w:sz w:val="22"/>
        </w:rPr>
        <w:t>е преформулира.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След изготвяне на формуляра, се представя на Управителя за одобрение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Управителят приключва попълването на формуляра</w:t>
      </w:r>
      <w:r>
        <w:rPr>
          <w:sz w:val="22"/>
        </w:rPr>
        <w:t xml:space="preserve"> (с или без модификации), одобрява </w:t>
      </w:r>
      <w:r>
        <w:rPr>
          <w:sz w:val="22"/>
          <w:lang w:val="bg-BG"/>
        </w:rPr>
        <w:t>го</w:t>
      </w:r>
      <w:r>
        <w:rPr>
          <w:sz w:val="22"/>
        </w:rPr>
        <w:t xml:space="preserve"> и </w:t>
      </w:r>
      <w:r>
        <w:rPr>
          <w:sz w:val="22"/>
          <w:lang w:val="bg-BG"/>
        </w:rPr>
        <w:t xml:space="preserve">го </w:t>
      </w:r>
      <w:r>
        <w:rPr>
          <w:sz w:val="22"/>
        </w:rPr>
        <w:t xml:space="preserve">изпраща на </w:t>
      </w:r>
      <w:r>
        <w:rPr>
          <w:sz w:val="22"/>
          <w:lang w:val="bg-BG"/>
        </w:rPr>
        <w:t>Р</w:t>
      </w:r>
      <w:r>
        <w:rPr>
          <w:sz w:val="22"/>
        </w:rPr>
        <w:t>ъководител</w:t>
      </w:r>
      <w:r>
        <w:rPr>
          <w:sz w:val="22"/>
          <w:lang w:val="bg-BG"/>
        </w:rPr>
        <w:t xml:space="preserve"> Човешки ресурси.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 xml:space="preserve">Ръководител Човешки ресурси </w:t>
      </w:r>
      <w:r>
        <w:rPr>
          <w:sz w:val="22"/>
        </w:rPr>
        <w:t xml:space="preserve">изпраща одобрените </w:t>
      </w:r>
      <w:r>
        <w:rPr>
          <w:sz w:val="22"/>
          <w:lang w:val="bg-BG"/>
        </w:rPr>
        <w:t>формуляри на всеки служител и неговия/нейния пряк Ръководител.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>Гарантиране, че отговорностите и пълномощията, с</w:t>
      </w:r>
      <w:r>
        <w:rPr>
          <w:b/>
          <w:sz w:val="22"/>
          <w:u w:val="single"/>
          <w:lang w:val="bg-BG"/>
        </w:rPr>
        <w:t>а съобщени и се</w:t>
      </w:r>
      <w:r>
        <w:rPr>
          <w:b/>
          <w:sz w:val="22"/>
          <w:u w:val="single"/>
        </w:rPr>
        <w:t xml:space="preserve"> разбират в рамките на </w:t>
      </w:r>
      <w:r>
        <w:rPr>
          <w:b/>
          <w:sz w:val="22"/>
          <w:u w:val="single"/>
          <w:lang w:val="bg-BG"/>
        </w:rPr>
        <w:t>О</w:t>
      </w:r>
      <w:r>
        <w:rPr>
          <w:b/>
          <w:sz w:val="22"/>
          <w:u w:val="single"/>
        </w:rPr>
        <w:t>рганизацията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  <w:lang w:val="bg-BG"/>
        </w:rPr>
        <w:t>Ръководител Човешки ресурси е лице, което отговаря относно изяснения и запитвания към Формулярите Отговорности - Длъжностни характеристики и</w:t>
      </w:r>
      <w:r>
        <w:rPr>
          <w:sz w:val="22"/>
        </w:rPr>
        <w:t xml:space="preserve"> гарантира, че </w:t>
      </w:r>
      <w:r>
        <w:rPr>
          <w:sz w:val="22"/>
          <w:lang w:val="bg-BG"/>
        </w:rPr>
        <w:t xml:space="preserve">отговорностите и пълномощията </w:t>
      </w:r>
      <w:r>
        <w:rPr>
          <w:sz w:val="22"/>
        </w:rPr>
        <w:t xml:space="preserve">са </w:t>
      </w:r>
      <w:r>
        <w:rPr>
          <w:sz w:val="22"/>
          <w:lang w:val="bg-BG"/>
        </w:rPr>
        <w:t xml:space="preserve">съобщени и </w:t>
      </w:r>
      <w:r>
        <w:rPr>
          <w:sz w:val="22"/>
        </w:rPr>
        <w:t>разбра</w:t>
      </w:r>
      <w:r>
        <w:rPr>
          <w:sz w:val="22"/>
          <w:lang w:val="bg-BG"/>
        </w:rPr>
        <w:t>н</w:t>
      </w:r>
      <w:r>
        <w:rPr>
          <w:sz w:val="22"/>
        </w:rPr>
        <w:t xml:space="preserve">и в рамките на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рганизацията. </w:t>
      </w:r>
      <w:r>
        <w:rPr>
          <w:sz w:val="22"/>
          <w:lang w:val="bg-BG"/>
        </w:rPr>
        <w:t>За изпълнението на тази цел, могат да се организират о</w:t>
      </w:r>
      <w:r>
        <w:rPr>
          <w:sz w:val="22"/>
        </w:rPr>
        <w:t xml:space="preserve">бучения </w:t>
      </w:r>
      <w:r>
        <w:rPr>
          <w:sz w:val="22"/>
          <w:lang w:val="bg-BG"/>
        </w:rPr>
        <w:t xml:space="preserve">и </w:t>
      </w:r>
      <w:r>
        <w:rPr>
          <w:sz w:val="22"/>
        </w:rPr>
        <w:t>семинари</w:t>
      </w:r>
      <w:r>
        <w:rPr>
          <w:sz w:val="22"/>
          <w:lang w:val="bg-BG"/>
        </w:rPr>
        <w:t>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270" w:leader="none"/>
        </w:tabs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>Поддържат се следните записи: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3996"/>
        <w:gridCol w:w="1843"/>
        <w:gridCol w:w="851"/>
        <w:gridCol w:w="132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Име на формуляри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Формат</w:t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</w:r>
          </w:p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Вид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Период на съхранение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Отговорник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1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MR-Q-F-PR02-001 </w:t>
            </w:r>
          </w:p>
          <w:p>
            <w:pPr>
              <w:pStyle w:val="BodyText"/>
              <w:rPr>
                <w:lang w:val="bg-BG"/>
              </w:rPr>
            </w:pPr>
            <w:r>
              <w:rPr/>
              <w:t xml:space="preserve">Формуляр Отговорности – Длъжностна характеристика– </w:t>
            </w:r>
            <w:r>
              <w:rPr>
                <w:lang w:val="bg-BG"/>
              </w:rPr>
              <w:t>Оригинал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/>
            </w:pPr>
            <w:r>
              <w:rPr>
                <w:lang w:val="bg-BG"/>
              </w:rPr>
              <w:t>На хартия</w:t>
            </w:r>
            <w:r>
              <w:rPr/>
              <w:t xml:space="preserve"> 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Постоянно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РЧР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jc w:val="center"/>
              <w:rPr/>
            </w:pPr>
            <w:r>
              <w:rPr/>
              <w:t>2</w:t>
            </w:r>
          </w:p>
        </w:tc>
        <w:tc>
          <w:tcPr>
            <w:tcW w:w="39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rPr>
                <w:lang w:val="bg-BG"/>
              </w:rPr>
            </w:pPr>
            <w:r>
              <w:rPr/>
              <w:t>Q</w:t>
            </w:r>
            <w:r>
              <w:rPr>
                <w:lang w:val="bg-BG"/>
              </w:rPr>
              <w:t>Е</w:t>
            </w:r>
            <w:r>
              <w:rPr/>
              <w:t xml:space="preserve">MR-Q-F-PR02-001 </w:t>
            </w:r>
          </w:p>
          <w:p>
            <w:pPr>
              <w:pStyle w:val="BodyText"/>
              <w:rPr>
                <w:lang w:val="bg-BG"/>
              </w:rPr>
            </w:pPr>
            <w:r>
              <w:rPr/>
              <w:t xml:space="preserve">Формуляр Отговорности – Длъжностна характеристика– </w:t>
            </w:r>
            <w:r>
              <w:rPr>
                <w:lang w:val="bg-BG"/>
              </w:rPr>
              <w:t>Оригинал</w:t>
            </w:r>
            <w:r>
              <w:rPr/>
              <w:t xml:space="preserve"> – </w:t>
            </w:r>
            <w:r>
              <w:rPr>
                <w:lang w:val="bg-BG"/>
              </w:rPr>
              <w:t>Копия</w:t>
            </w:r>
          </w:p>
        </w:tc>
        <w:tc>
          <w:tcPr>
            <w:tcW w:w="1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Български, Текст</w:t>
            </w:r>
          </w:p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</w:r>
          </w:p>
        </w:tc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На хартия</w:t>
            </w:r>
          </w:p>
        </w:tc>
        <w:tc>
          <w:tcPr>
            <w:tcW w:w="13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Постоянно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BodyText"/>
              <w:ind w:end="-108"/>
              <w:rPr>
                <w:lang w:val="bg-BG"/>
              </w:rPr>
            </w:pPr>
            <w:r>
              <w:rPr>
                <w:lang w:val="bg-BG"/>
              </w:rPr>
              <w:t>Определени притежатели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/>
      </w:pPr>
      <w:r>
        <w:rPr>
          <w:b/>
          <w:sz w:val="22"/>
          <w:u w:val="single"/>
        </w:rPr>
        <w:t xml:space="preserve">8.  </w:t>
      </w:r>
      <w:r>
        <w:rPr>
          <w:b/>
          <w:sz w:val="22"/>
          <w:u w:val="single"/>
          <w:lang w:val="bg-BG"/>
        </w:rPr>
        <w:t>ИСТОРИЯ НА ДОКУМЕНТ</w:t>
      </w:r>
      <w:r>
        <w:rPr>
          <w:b/>
          <w:sz w:val="22"/>
          <w:u w:val="single"/>
        </w:rPr>
        <w:t>: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4926"/>
        <w:gridCol w:w="1701"/>
        <w:gridCol w:w="2103"/>
      </w:tblGrid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</w:rPr>
            </w:pPr>
            <w:r>
              <w:rPr>
                <w:b/>
                <w:sz w:val="20"/>
                <w:lang w:val="bg-BG"/>
              </w:rPr>
              <w:t>Версия №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Промени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Променено от</w:t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0"/>
                <w:lang w:val="bg-BG"/>
              </w:rPr>
            </w:pPr>
            <w:r>
              <w:rPr>
                <w:b/>
                <w:sz w:val="20"/>
                <w:lang w:val="bg-BG"/>
              </w:rPr>
              <w:t>Забележки от</w:t>
            </w:r>
            <w:r>
              <w:rPr>
                <w:b/>
                <w:sz w:val="20"/>
              </w:rPr>
              <w:t xml:space="preserve">  </w:t>
            </w:r>
            <w:r>
              <w:rPr>
                <w:b/>
                <w:sz w:val="20"/>
                <w:lang w:val="bg-BG"/>
              </w:rPr>
              <w:t>ОИСУ</w:t>
            </w:r>
          </w:p>
        </w:tc>
      </w:tr>
      <w:tr>
        <w:trPr>
          <w:trHeight w:val="155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V-001</w:t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Първа версия, одобрена за изпълнение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</w:tr>
      <w:tr>
        <w:trPr>
          <w:trHeight w:val="242" w:hRule="atLeast"/>
        </w:trPr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49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2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sz w:val="22"/>
        </w:rPr>
      </w:pPr>
      <w:r>
        <w:rPr>
          <w:b/>
          <w:sz w:val="22"/>
        </w:rPr>
      </w:r>
    </w:p>
    <w:p>
      <w:pPr>
        <w:pStyle w:val="Header"/>
        <w:rPr>
          <w:b/>
          <w:color w:val="FF0000"/>
          <w:sz w:val="22"/>
        </w:rPr>
      </w:pPr>
      <w:r>
        <w:rPr>
          <w:b/>
          <w:color w:val="FF0000"/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ОТГОВОРНОСТИ</w:t>
      </w:r>
      <w:r>
        <w:rPr>
          <w:b/>
        </w:rPr>
        <w:t xml:space="preserve"> – </w:t>
      </w:r>
      <w:r>
        <w:rPr>
          <w:b/>
          <w:lang w:val="bg-BG"/>
        </w:rPr>
        <w:t>ДЛЪЖНОСТНА ХАРАКТЕРИСТИКА</w:t>
      </w:r>
    </w:p>
    <w:p>
      <w:pPr>
        <w:pStyle w:val="Header"/>
        <w:rPr>
          <w:b/>
          <w:lang w:val="bg-BG"/>
        </w:rPr>
      </w:pPr>
      <w:r>
        <w:rPr>
          <w:b/>
          <w:lang w:val="bg-BG"/>
        </w:rPr>
      </w:r>
    </w:p>
    <w:p>
      <w:pPr>
        <w:pStyle w:val="Header"/>
        <w:rPr>
          <w:b/>
          <w:color w:val="FF0000"/>
        </w:rPr>
      </w:pPr>
      <w:r>
        <w:rPr>
          <w:b/>
        </w:rPr>
        <w:t>QMR-Q-F-PR</w:t>
      </w:r>
      <w:r>
        <w:rPr>
          <w:b/>
          <w:lang w:val="bg-BG"/>
        </w:rPr>
        <w:t>10</w:t>
      </w:r>
      <w:r>
        <w:rPr>
          <w:b/>
        </w:rPr>
        <w:t>-001</w:t>
      </w:r>
    </w:p>
    <w:p>
      <w:pPr>
        <w:pStyle w:val="Normal"/>
        <w:tabs>
          <w:tab w:val="clear" w:pos="720"/>
          <w:tab w:val="left" w:pos="9781" w:leader="none"/>
        </w:tabs>
        <w:ind w:end="42"/>
        <w:rPr>
          <w:b/>
          <w:color w:val="FF0000"/>
          <w:sz w:val="22"/>
        </w:rPr>
      </w:pPr>
      <w:r>
        <w:rPr>
          <w:b/>
          <w:color w:val="FF0000"/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Персонален номер</w:t>
      </w:r>
      <w:r>
        <w:rPr>
          <w:sz w:val="22"/>
        </w:rPr>
        <w:t xml:space="preserve">             : ………………….              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Име</w:t>
      </w:r>
      <w:r>
        <w:rPr>
          <w:sz w:val="22"/>
        </w:rPr>
        <w:t xml:space="preserve">                                     : ……………………………………………….   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Длъжност</w:t>
        <w:tab/>
        <w:tab/>
        <w:t xml:space="preserve">   </w:t>
      </w:r>
      <w:r>
        <w:rPr>
          <w:sz w:val="22"/>
        </w:rPr>
        <w:t xml:space="preserve"> : …………………………………………..…. </w:t>
      </w:r>
      <w:r>
        <w:rPr>
          <w:sz w:val="22"/>
          <w:lang w:val="bg-BG"/>
        </w:rPr>
        <w:t>От (дата):</w:t>
      </w:r>
      <w:r>
        <w:rPr>
          <w:sz w:val="22"/>
        </w:rPr>
        <w:t xml:space="preserve"> 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>
          <w:lang w:val="bg-BG"/>
        </w:rPr>
      </w:pPr>
      <w:r>
        <w:rPr/>
        <w:t xml:space="preserve">A. </w:t>
      </w:r>
      <w:r>
        <w:rPr>
          <w:lang w:val="bg-BG"/>
        </w:rPr>
        <w:t>Основни отговорности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  <w:t>1.</w:t>
      </w:r>
    </w:p>
    <w:p>
      <w:pPr>
        <w:pStyle w:val="Normal"/>
        <w:rPr>
          <w:sz w:val="22"/>
        </w:rPr>
      </w:pPr>
      <w:r>
        <w:rPr>
          <w:sz w:val="22"/>
        </w:rPr>
        <w:t>2.</w:t>
      </w:r>
    </w:p>
    <w:p>
      <w:pPr>
        <w:pStyle w:val="Normal"/>
        <w:rPr>
          <w:sz w:val="22"/>
        </w:rPr>
      </w:pPr>
      <w:r>
        <w:rPr>
          <w:sz w:val="22"/>
        </w:rPr>
        <w:t>3.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>
          <w:lang w:val="bg-BG"/>
        </w:rPr>
      </w:pPr>
      <w:r>
        <w:rPr/>
        <w:t xml:space="preserve">B. </w:t>
      </w:r>
      <w:r>
        <w:rPr>
          <w:lang w:val="bg-BG"/>
        </w:rPr>
        <w:t>Второстепенни отговорности: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  <w:t>1.</w:t>
      </w:r>
    </w:p>
    <w:p>
      <w:pPr>
        <w:pStyle w:val="Normal"/>
        <w:rPr>
          <w:sz w:val="22"/>
        </w:rPr>
      </w:pPr>
      <w:r>
        <w:rPr>
          <w:sz w:val="22"/>
        </w:rPr>
        <w:t>2.</w:t>
      </w:r>
    </w:p>
    <w:p>
      <w:pPr>
        <w:pStyle w:val="Normal"/>
        <w:rPr>
          <w:sz w:val="22"/>
        </w:rPr>
      </w:pPr>
      <w:r>
        <w:rPr>
          <w:sz w:val="22"/>
        </w:rPr>
        <w:t>3.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>
          <w:lang w:val="bg-BG"/>
        </w:rPr>
      </w:pPr>
      <w:r>
        <w:rPr/>
        <w:t xml:space="preserve">C. </w:t>
      </w:r>
      <w:r>
        <w:rPr>
          <w:lang w:val="bg-BG"/>
        </w:rPr>
        <w:t>Степен на ръководтсво: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  <w:t>1.</w:t>
      </w:r>
    </w:p>
    <w:p>
      <w:pPr>
        <w:pStyle w:val="Normal"/>
        <w:rPr>
          <w:sz w:val="22"/>
        </w:rPr>
      </w:pPr>
      <w:r>
        <w:rPr>
          <w:sz w:val="22"/>
        </w:rPr>
        <w:t>2.</w:t>
      </w:r>
    </w:p>
    <w:p>
      <w:pPr>
        <w:pStyle w:val="Normal"/>
        <w:rPr>
          <w:sz w:val="22"/>
        </w:rPr>
      </w:pPr>
      <w:r>
        <w:rPr>
          <w:sz w:val="22"/>
        </w:rPr>
        <w:t>3.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ing2"/>
        <w:ind w:hanging="0" w:start="0"/>
        <w:rPr>
          <w:lang w:val="bg-BG"/>
        </w:rPr>
      </w:pPr>
      <w:r>
        <w:rPr/>
        <w:t xml:space="preserve">D. </w:t>
      </w:r>
      <w:r>
        <w:rPr>
          <w:lang w:val="bg-BG"/>
        </w:rPr>
        <w:t>Действия по ръководство: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</w:rPr>
      </w:pPr>
      <w:r>
        <w:rPr>
          <w:sz w:val="22"/>
        </w:rPr>
        <w:t>1.</w:t>
      </w:r>
    </w:p>
    <w:p>
      <w:pPr>
        <w:pStyle w:val="Normal"/>
        <w:rPr>
          <w:sz w:val="22"/>
        </w:rPr>
      </w:pPr>
      <w:r>
        <w:rPr>
          <w:sz w:val="22"/>
        </w:rPr>
        <w:t>2.</w:t>
      </w:r>
    </w:p>
    <w:p>
      <w:pPr>
        <w:pStyle w:val="Normal"/>
        <w:rPr>
          <w:sz w:val="22"/>
        </w:rPr>
      </w:pPr>
      <w:r>
        <w:rPr>
          <w:sz w:val="22"/>
        </w:rPr>
        <w:t>3.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Одобрено от</w:t>
      </w:r>
      <w:r>
        <w:rPr>
          <w:sz w:val="22"/>
        </w:rPr>
        <w:t>: …………………………………………………</w:t>
      </w:r>
    </w:p>
    <w:p>
      <w:pPr>
        <w:pStyle w:val="Normal"/>
        <w:rPr>
          <w:b/>
          <w:sz w:val="22"/>
          <w:lang w:val="bg-BG"/>
        </w:rPr>
      </w:pPr>
      <w:r>
        <w:rPr>
          <w:sz w:val="22"/>
        </w:rPr>
        <w:t xml:space="preserve">                                           </w:t>
      </w:r>
      <w:r>
        <w:rPr>
          <w:b/>
          <w:sz w:val="22"/>
          <w:lang w:val="bg-BG"/>
        </w:rPr>
        <w:t>Управител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>
          <w:sz w:val="22"/>
          <w:lang w:val="bg-BG"/>
        </w:rPr>
        <w:t>Дата</w:t>
      </w:r>
      <w:r>
        <w:rPr>
          <w:sz w:val="22"/>
        </w:rPr>
        <w:t xml:space="preserve">          : 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i/>
        </w:rPr>
        <w:t>Забележка: Моля, вижте процедурата QMR-QMR-OR-02 за определянето на видовете органи и отговорности</w:t>
      </w:r>
      <w:r>
        <w:rPr>
          <w:sz w:val="22"/>
        </w:rPr>
        <w:t>.</w:t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977" w:footer="666" w:bottom="72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Comic Sans MS">
    <w:charset w:val="00" w:characterSet="windows-1252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tbl>
    <w:tblPr>
      <w:tblW w:w="9923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1350"/>
      <w:gridCol w:w="1627"/>
      <w:gridCol w:w="2693"/>
      <w:gridCol w:w="1440"/>
      <w:gridCol w:w="2813"/>
    </w:tblGrid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Изготвено от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ind w:start="-108" w:end="-108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Прегледано и одобрено от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jc w:val="cen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Издадено от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  <w:t>Контролиран документ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b/>
              <w:sz w:val="22"/>
              <w:lang w:val="bg-BG"/>
            </w:rPr>
          </w:pPr>
          <w:r>
            <w:rPr>
              <w:b/>
              <w:sz w:val="22"/>
              <w:lang w:val="bg-BG"/>
            </w:rPr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Подпис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b/>
              <w:i/>
              <w:sz w:val="22"/>
              <w:lang w:val="bg-BG"/>
            </w:rPr>
            <w:t>Док. №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  <w:r>
            <w:rPr>
              <w:b/>
              <w:sz w:val="22"/>
            </w:rPr>
            <w:t>Q</w:t>
          </w:r>
          <w:r>
            <w:rPr>
              <w:b/>
              <w:sz w:val="22"/>
              <w:lang w:val="bg-BG"/>
            </w:rPr>
            <w:t>Е</w:t>
          </w:r>
          <w:r>
            <w:rPr>
              <w:b/>
              <w:sz w:val="22"/>
            </w:rPr>
            <w:t>MR-Q-M-PR-10</w:t>
          </w:r>
        </w:p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Версия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001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Дата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snapToGrid w:val="false"/>
            <w:jc w:val="center"/>
            <w:rPr>
              <w:sz w:val="22"/>
            </w:rPr>
          </w:pPr>
          <w:r>
            <w:rPr>
              <w:sz w:val="22"/>
            </w:rPr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/>
          </w:pPr>
          <w:r>
            <w:rPr>
              <w:b/>
              <w:i/>
              <w:sz w:val="22"/>
              <w:lang w:val="bg-BG"/>
            </w:rPr>
            <w:t>Дата на утвърждаване</w:t>
          </w:r>
          <w:r>
            <w:rPr>
              <w:b/>
              <w:i/>
              <w:sz w:val="22"/>
            </w:rPr>
            <w:t>:</w:t>
          </w:r>
          <w:r>
            <w:rPr>
              <w:sz w:val="22"/>
            </w:rPr>
            <w:t xml:space="preserve"> </w:t>
          </w:r>
        </w:p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06.02.2023</w:t>
          </w:r>
        </w:p>
      </w:tc>
    </w:tr>
    <w:tr>
      <w:trPr/>
      <w:tc>
        <w:tcPr>
          <w:tcW w:w="135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Длъжност</w:t>
          </w:r>
        </w:p>
      </w:tc>
      <w:tc>
        <w:tcPr>
          <w:tcW w:w="1627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69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Директор</w:t>
          </w:r>
        </w:p>
      </w:tc>
      <w:tc>
        <w:tcPr>
          <w:tcW w:w="144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Header"/>
            <w:jc w:val="center"/>
            <w:rPr>
              <w:sz w:val="22"/>
              <w:lang w:val="bg-BG"/>
            </w:rPr>
          </w:pPr>
          <w:r>
            <w:rPr>
              <w:sz w:val="22"/>
              <w:lang w:val="bg-BG"/>
            </w:rPr>
            <w:t>ОИСУ</w:t>
          </w:r>
        </w:p>
      </w:tc>
      <w:tc>
        <w:tcPr>
          <w:tcW w:w="2813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</w:tcPr>
        <w:p>
          <w:pPr>
            <w:pStyle w:val="Footer"/>
            <w:rPr>
              <w:sz w:val="22"/>
              <w:lang w:val="bg-BG"/>
            </w:rPr>
          </w:pPr>
          <w:r>
            <w:rPr>
              <w:sz w:val="22"/>
              <w:lang w:val="bg-BG" w:eastAsia="en-US"/>
            </w:rPr>
            <w:t>Стр.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eastAsia="en-US"/>
            </w:rPr>
            <w:fldChar w:fldCharType="begin"/>
          </w:r>
          <w:r>
            <w:rPr>
              <w:sz w:val="22"/>
              <w:lang w:eastAsia="en-US"/>
            </w:rPr>
            <w:instrText xml:space="preserve"> PAGE </w:instrText>
          </w:r>
          <w:r>
            <w:rPr>
              <w:sz w:val="22"/>
              <w:lang w:eastAsia="en-US"/>
            </w:rPr>
            <w:fldChar w:fldCharType="separate"/>
          </w:r>
          <w:r>
            <w:rPr>
              <w:sz w:val="22"/>
              <w:lang w:eastAsia="en-US"/>
            </w:rPr>
            <w:t>4</w:t>
          </w:r>
          <w:r>
            <w:rPr>
              <w:sz w:val="22"/>
              <w:lang w:eastAsia="en-US"/>
            </w:rPr>
            <w:fldChar w:fldCharType="end"/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от</w:t>
          </w:r>
          <w:r>
            <w:rPr>
              <w:sz w:val="22"/>
              <w:lang w:eastAsia="en-US"/>
            </w:rPr>
            <w:t xml:space="preserve"> </w:t>
          </w:r>
          <w:r>
            <w:rPr>
              <w:sz w:val="22"/>
              <w:lang w:val="bg-BG" w:eastAsia="en-US"/>
            </w:rPr>
            <w:t>3</w:t>
          </w:r>
        </w:p>
      </w:tc>
    </w:tr>
  </w:tbl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rFonts w:ascii="Comic Sans MS" w:hAnsi="Comic Sans MS" w:cs="Comic Sans MS"/>
        <w:b/>
        <w:sz w:val="28"/>
        <w:lang w:val="bg-BG" w:eastAsia="bg-BG"/>
      </w:rPr>
    </w:pPr>
    <w:r>
      <w:rPr>
        <w:rFonts w:cs="Comic Sans MS" w:ascii="Comic Sans MS" w:hAnsi="Comic Sans MS"/>
        <w:b/>
        <w:sz w:val="28"/>
        <w:lang w:val="bg-BG" w:eastAsia="bg-BG"/>
      </w:rPr>
    </w:r>
    <w:r>
      <mc:AlternateContent>
        <mc:Choice Requires="wps">
          <w:drawing>
            <wp:anchor distT="0" distB="0" distL="114935" distR="114935" simplePos="0" relativeHeight="5" behindDoc="1" locked="0" layoutInCell="1" allowOverlap="1">
              <wp:simplePos x="0" y="0"/>
              <wp:positionH relativeFrom="column">
                <wp:posOffset>9525</wp:posOffset>
              </wp:positionH>
              <wp:positionV relativeFrom="paragraph">
                <wp:posOffset>-4445</wp:posOffset>
              </wp:positionV>
              <wp:extent cx="6318250" cy="1289050"/>
              <wp:effectExtent l="0" t="0" r="0" b="0"/>
              <wp:wrapNone/>
              <wp:docPr id="1" name="Рамка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318250" cy="1289050"/>
                      </a:xfrm>
                      <a:prstGeom prst="rect"/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</a:ln>
                    </wps:spPr>
                    <wps:txbx>
                      <w:txbxContent>
                        <w:tbl>
                          <w:tblPr>
                            <w:tblW w:w="10065" w:type="dxa"/>
                            <w:jc w:val="start"/>
                            <w:tblInd w:w="-34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</w:tblPr>
                          <w:tblGrid>
                            <w:gridCol w:w="10065"/>
                          </w:tblGrid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Arial" w:hAnsi="Arial" w:cs="Arial"/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„</w:t>
                                </w:r>
                                <w:r>
                                  <w:rPr>
                                    <w:rFonts w:cs="Arial" w:ascii="Arial" w:hAnsi="Arial"/>
                                    <w:sz w:val="32"/>
                                    <w:lang w:val="bg-BG"/>
                                  </w:rPr>
                                  <w:t>Братя Панчеви“ ООД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jc w:val="center"/>
                                  <w:rPr>
                                    <w:rFonts w:ascii="Arial" w:hAnsi="Arial" w:cs="Arial"/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rFonts w:cs="Arial" w:ascii="Arial" w:hAnsi="Arial"/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sz w:val="32"/>
                                    <w:lang w:val="bg-BG"/>
                                  </w:rPr>
                                </w:pP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ИНТЕГРИРАНА</w:t>
                                </w:r>
                                <w:r>
                                  <w:rPr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СИСТЕМА ЗА УПРАВЛЕНИЕ НА КАЧЕСТВОТО</w:t>
                                </w:r>
                                <w:r>
                                  <w:rPr>
                                    <w:sz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sz w:val="32"/>
                                    <w:lang w:val="bg-BG"/>
                                  </w:rPr>
                                  <w:t>И ОКОЛНАТА СРЕДА</w:t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snapToGrid w:val="false"/>
                                  <w:rPr>
                                    <w:sz w:val="16"/>
                                    <w:lang w:val="bg-BG"/>
                                  </w:rPr>
                                </w:pPr>
                                <w:r>
                                  <w:rPr>
                                    <w:sz w:val="16"/>
                                    <w:lang w:val="bg-BG"/>
                                  </w:rPr>
                                </w:r>
                              </w:p>
                            </w:tc>
                          </w:tr>
                          <w:tr>
                            <w:trPr/>
                            <w:tc>
                              <w:tcPr>
                                <w:tcW w:w="10065" w:type="dxa"/>
                                <w:tcBorders/>
                              </w:tcPr>
                              <w:p>
                                <w:pPr>
                                  <w:pStyle w:val="Header"/>
                                  <w:jc w:val="center"/>
                                  <w:rPr>
                                    <w:rFonts w:ascii="Comic Sans MS" w:hAnsi="Comic Sans MS" w:cs="Comic Sans MS"/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  <w:lang w:val="bg-BG"/>
                                  </w:rPr>
                                  <w:t>ПРОЦЕДУРА ЗА ВЪЗЛАГАНЕ НА ПЪЛНОМОЩИЯ И ОТГОВОРНОСТИ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Normal"/>
                            <w:rPr/>
                          </w:pPr>
                          <w:r>
                            <w:rPr/>
                          </w:r>
                        </w:p>
                      </w:txbxContent>
                    </wps:txbx>
                    <wps:bodyPr anchor="t" lIns="91440" tIns="45720" rIns="91440" bIns="4572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rokecolor="#000000" strokeweight="0pt" style="position:absolute;rotation:-0;width:497.5pt;height:101.5pt;mso-wrap-distance-left:9.05pt;mso-wrap-distance-right:9.05pt;mso-wrap-distance-top:0pt;mso-wrap-distance-bottom:0pt;margin-top:-0.35pt;mso-position-vertical-relative:text;margin-left:0.75pt;mso-position-horizontal-relative:text">
              <v:textbox>
                <w:txbxContent>
                  <w:tbl>
                    <w:tblPr>
                      <w:tblW w:w="10065" w:type="dxa"/>
                      <w:jc w:val="start"/>
                      <w:tblInd w:w="-34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</w:tblPr>
                    <w:tblGrid>
                      <w:gridCol w:w="10065"/>
                    </w:tblGrid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Arial" w:hAnsi="Arial" w:cs="Arial"/>
                              <w:sz w:val="32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„</w:t>
                          </w:r>
                          <w:r>
                            <w:rPr>
                              <w:rFonts w:cs="Arial" w:ascii="Arial" w:hAnsi="Arial"/>
                              <w:sz w:val="32"/>
                              <w:lang w:val="bg-BG"/>
                            </w:rPr>
                            <w:t>Братя Панчеви“ ООД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jc w:val="center"/>
                            <w:rPr>
                              <w:rFonts w:ascii="Arial" w:hAnsi="Arial" w:cs="Arial"/>
                              <w:sz w:val="16"/>
                              <w:lang w:val="bg-BG"/>
                            </w:rPr>
                          </w:pPr>
                          <w:r>
                            <w:rPr>
                              <w:rFonts w:cs="Arial" w:ascii="Arial" w:hAnsi="Arial"/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sz w:val="32"/>
                              <w:lang w:val="bg-BG"/>
                            </w:rPr>
                          </w:pPr>
                          <w:r>
                            <w:rPr>
                              <w:sz w:val="32"/>
                              <w:lang w:val="bg-BG"/>
                            </w:rPr>
                            <w:t>ИНТЕГРИРАНА</w:t>
                          </w:r>
                          <w:r>
                            <w:rPr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  <w:lang w:val="bg-BG"/>
                            </w:rPr>
                            <w:t>СИСТЕМА ЗА УПРАВЛЕНИЕ НА КАЧЕСТВОТО</w:t>
                          </w:r>
                          <w:r>
                            <w:rPr>
                              <w:sz w:val="32"/>
                            </w:rPr>
                            <w:t xml:space="preserve"> </w:t>
                          </w:r>
                          <w:r>
                            <w:rPr>
                              <w:sz w:val="32"/>
                              <w:lang w:val="bg-BG"/>
                            </w:rPr>
                            <w:t>И ОКОЛНАТА СРЕДА</w:t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snapToGrid w:val="false"/>
                            <w:rPr>
                              <w:sz w:val="16"/>
                              <w:lang w:val="bg-BG"/>
                            </w:rPr>
                          </w:pPr>
                          <w:r>
                            <w:rPr>
                              <w:sz w:val="16"/>
                              <w:lang w:val="bg-BG"/>
                            </w:rPr>
                          </w:r>
                        </w:p>
                      </w:tc>
                    </w:tr>
                    <w:tr>
                      <w:trPr/>
                      <w:tc>
                        <w:tcPr>
                          <w:tcW w:w="10065" w:type="dxa"/>
                          <w:tcBorders/>
                        </w:tcPr>
                        <w:p>
                          <w:pPr>
                            <w:pStyle w:val="Header"/>
                            <w:jc w:val="center"/>
                            <w:rPr>
                              <w:rFonts w:ascii="Comic Sans MS" w:hAnsi="Comic Sans MS" w:cs="Comic Sans MS"/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  <w:lang w:val="bg-BG"/>
                            </w:rPr>
                            <w:t>ПРОЦЕДУРА ЗА ВЪЗЛАГАНЕ НА ПЪЛНОМОЩИЯ И ОТГОВОРНОСТИ</w:t>
                          </w:r>
                        </w:p>
                      </w:tc>
                    </w:tr>
                  </w:tbl>
                  <w:p>
                    <w:pPr>
                      <w:pStyle w:val="Normal"/>
                      <w:rPr/>
                    </w:pPr>
                    <w:r>
                      <w:rPr/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/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360"/>
        </w:tabs>
        <w:ind w:start="360" w:hanging="360"/>
      </w:pPr>
      <w:rPr/>
    </w:lvl>
  </w:abstractNum>
  <w:abstractNum w:abstractNumId="4">
    <w:lvl w:ilvl="0">
      <w:start w:val="7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2">
    <w:name w:val="Шрифт на абзаца по подразбиране"/>
    <w:qFormat/>
    <w:rPr/>
  </w:style>
  <w:style w:type="character" w:styleId="Style13">
    <w:name w:val="Основен текст Знак"/>
    <w:qFormat/>
    <w:rPr>
      <w:sz w:val="22"/>
      <w:lang w:val="en-US"/>
    </w:rPr>
  </w:style>
  <w:style w:type="character" w:styleId="Style14">
    <w:name w:val="Горен колонтитул Знак"/>
    <w:qFormat/>
    <w:rPr>
      <w:sz w:val="24"/>
      <w:lang w:val="en-US"/>
    </w:rPr>
  </w:style>
  <w:style w:type="paragraph" w:styleId="Style15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2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"/>
    <w:basedOn w:val="Normal"/>
    <w:qFormat/>
    <w:pPr>
      <w:suppressLineNumbers/>
    </w:pPr>
    <w:rPr>
      <w:rFonts w:cs="Arial"/>
    </w:rPr>
  </w:style>
  <w:style w:type="paragraph" w:styleId="Style17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paragraph" w:styleId="-2">
    <w:name w:val="Рамка - съдържание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568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2001-03-16T02:36:00Z</dcterms:created>
  <dc:creator>ws</dc:creator>
  <dc:description/>
  <cp:keywords/>
  <dc:language>bg-BG</dc:language>
  <cp:lastModifiedBy>Nikolay Trayanov</cp:lastModifiedBy>
  <cp:lastPrinted>2002-06-29T03:19:00Z</cp:lastPrinted>
  <dcterms:modified xsi:type="dcterms:W3CDTF">2023-07-11T14:40:00Z</dcterms:modified>
  <cp:revision>102</cp:revision>
  <dc:subject/>
  <dc:title/>
</cp:coreProperties>
</file>