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>а се създаде система за използване на подходящи средства, когато е необходимо да се гарантира съответствието на продуктите и услугите.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</w:rPr>
        <w:t>Всички елементи, технологични продукти, крайни продукти, върнати от клиенти, както и предоставяните услуги.</w:t>
      </w:r>
    </w:p>
    <w:p>
      <w:pPr>
        <w:pStyle w:val="Normal"/>
        <w:ind w:firstLine="36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36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22"/>
        </w:rPr>
      </w:pPr>
      <w:r>
        <w:rPr>
          <w:color w:val="FF0000"/>
          <w:sz w:val="22"/>
        </w:rPr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360" w:end="0"/>
        <w:rPr>
          <w:sz w:val="22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8.5.2 : Идентификация и проследимост</w:t>
      </w:r>
    </w:p>
    <w:p>
      <w:pPr>
        <w:pStyle w:val="Normal"/>
        <w:ind w:start="720" w:end="0"/>
        <w:rPr>
          <w:sz w:val="22"/>
          <w:lang w:val="bg-BG"/>
        </w:rPr>
      </w:pPr>
      <w:r>
        <w:rPr>
          <w:sz w:val="22"/>
          <w:lang w:val="bg-BG"/>
        </w:rPr>
        <w:t xml:space="preserve">      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ind w:start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ПЪЛНОМОЩИЯ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производство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Производство</w:t>
      </w:r>
      <w:r>
        <w:rPr>
          <w:sz w:val="22"/>
        </w:rPr>
        <w:t xml:space="preserve"> е отговорен за цялостното изпълнение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упълномощена да задържи производство</w:t>
      </w:r>
      <w:r>
        <w:rPr>
          <w:sz w:val="22"/>
          <w:lang w:val="bg-BG"/>
        </w:rPr>
        <w:t>то</w:t>
      </w:r>
      <w:r>
        <w:rPr>
          <w:sz w:val="22"/>
        </w:rPr>
        <w:t xml:space="preserve"> / доставка</w:t>
      </w:r>
      <w:r>
        <w:rPr>
          <w:sz w:val="22"/>
          <w:lang w:val="bg-BG"/>
        </w:rPr>
        <w:t>та</w:t>
      </w:r>
      <w:r>
        <w:rPr>
          <w:sz w:val="22"/>
        </w:rPr>
        <w:t xml:space="preserve"> на продукти</w:t>
      </w:r>
      <w:r>
        <w:rPr>
          <w:sz w:val="22"/>
          <w:lang w:val="bg-BG"/>
        </w:rPr>
        <w:t>, за които е</w:t>
      </w:r>
      <w:r>
        <w:rPr>
          <w:sz w:val="22"/>
        </w:rPr>
        <w:t xml:space="preserve"> установено, че имат частичн / </w:t>
      </w:r>
      <w:r>
        <w:rPr>
          <w:sz w:val="22"/>
          <w:lang w:val="bg-BG"/>
        </w:rPr>
        <w:t>пълно несъответствие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(Продажби и магазини)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Той / тя е отговорен за гарантиране, че входящите елементи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са идентифицирани с партидни номера, </w:t>
      </w:r>
      <w:r>
        <w:rPr>
          <w:sz w:val="22"/>
          <w:lang w:val="bg-BG"/>
        </w:rPr>
        <w:t>вписани</w:t>
      </w:r>
      <w:r>
        <w:rPr>
          <w:sz w:val="22"/>
        </w:rPr>
        <w:t xml:space="preserve"> от </w:t>
      </w:r>
      <w:r>
        <w:rPr>
          <w:sz w:val="22"/>
          <w:lang w:val="bg-BG"/>
        </w:rPr>
        <w:t>доставчиците</w:t>
      </w:r>
      <w:r>
        <w:rPr>
          <w:sz w:val="22"/>
        </w:rPr>
        <w:t xml:space="preserve"> преди изпращане за входящ</w:t>
      </w:r>
      <w:r>
        <w:rPr>
          <w:sz w:val="22"/>
          <w:lang w:val="bg-BG"/>
        </w:rPr>
        <w:t>а</w:t>
      </w:r>
      <w:r>
        <w:rPr>
          <w:sz w:val="22"/>
        </w:rPr>
        <w:t xml:space="preserve"> инспекция.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Той / тя е упълномощена да отхвърли </w:t>
      </w:r>
      <w:r>
        <w:rPr>
          <w:sz w:val="22"/>
          <w:lang w:val="bg-BG"/>
        </w:rPr>
        <w:t>елементи</w:t>
      </w:r>
      <w:r>
        <w:rPr>
          <w:sz w:val="22"/>
        </w:rPr>
        <w:t xml:space="preserve"> без идентифициран</w:t>
      </w:r>
      <w:r>
        <w:rPr>
          <w:sz w:val="22"/>
          <w:lang w:val="bg-BG"/>
        </w:rPr>
        <w:t>е</w:t>
      </w:r>
      <w:r>
        <w:rPr>
          <w:sz w:val="22"/>
        </w:rPr>
        <w:t xml:space="preserve"> на партидата </w:t>
      </w:r>
      <w:r>
        <w:rPr>
          <w:sz w:val="22"/>
          <w:lang w:val="bg-BG"/>
        </w:rPr>
        <w:t>при</w:t>
      </w:r>
      <w:r>
        <w:rPr>
          <w:sz w:val="22"/>
        </w:rPr>
        <w:t xml:space="preserve"> проверката.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Отговорник по качеството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по качеството</w:t>
      </w:r>
      <w:r>
        <w:rPr>
          <w:sz w:val="22"/>
        </w:rPr>
        <w:t xml:space="preserve"> е отговорен да гарантира, че опреде</w:t>
      </w:r>
      <w:r>
        <w:rPr>
          <w:sz w:val="22"/>
          <w:lang w:val="bg-BG"/>
        </w:rPr>
        <w:t>ната</w:t>
      </w:r>
      <w:r>
        <w:rPr>
          <w:sz w:val="22"/>
        </w:rPr>
        <w:t xml:space="preserve"> </w:t>
      </w:r>
      <w:r>
        <w:rPr>
          <w:sz w:val="22"/>
          <w:lang w:val="bg-BG"/>
        </w:rPr>
        <w:t>з</w:t>
      </w:r>
      <w:r>
        <w:rPr>
          <w:sz w:val="22"/>
        </w:rPr>
        <w:t xml:space="preserve">а продукта маркировка и състоянието на маркировката се </w:t>
      </w:r>
      <w:r>
        <w:rPr>
          <w:sz w:val="22"/>
          <w:lang w:val="bg-BG"/>
        </w:rPr>
        <w:t>поставени</w:t>
      </w:r>
      <w:r>
        <w:rPr>
          <w:sz w:val="22"/>
        </w:rPr>
        <w:t xml:space="preserve"> върху продуктите на всички етапи от производството и изпитване</w:t>
      </w:r>
      <w:r>
        <w:rPr>
          <w:sz w:val="22"/>
          <w:lang w:val="bg-BG"/>
        </w:rPr>
        <w:t>то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Нашата организация използва подходящи средства, за </w:t>
      </w:r>
      <w:r>
        <w:rPr>
          <w:sz w:val="22"/>
          <w:lang w:val="bg-BG"/>
        </w:rPr>
        <w:t>индетификация, проследимост, инспекция и маркировка на продукта</w:t>
      </w:r>
      <w:r>
        <w:rPr>
          <w:sz w:val="22"/>
        </w:rPr>
        <w:t xml:space="preserve">, когато това е необходимо, за да се гарантира съответствието на продуктите и услугите. Тя контролира идентификация на </w:t>
      </w:r>
      <w:r>
        <w:rPr>
          <w:sz w:val="22"/>
          <w:lang w:val="bg-BG"/>
        </w:rPr>
        <w:t xml:space="preserve">крайните продукти / услуги </w:t>
      </w:r>
      <w:r>
        <w:rPr>
          <w:sz w:val="22"/>
        </w:rPr>
        <w:t>и запазва документирана информация, необходима, за да се даде възможност за проследяване.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Получените материали от доставчици са маркирани с уникални индентификационни номера.</w:t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Което удостоверява, че са преминали проверка</w:t>
      </w:r>
      <w:r>
        <w:rPr>
          <w:sz w:val="22"/>
        </w:rPr>
        <w:t xml:space="preserve">, съгласно инструкциите за работа, при </w:t>
      </w:r>
      <w:r>
        <w:rPr>
          <w:sz w:val="22"/>
          <w:lang w:val="bg-BG"/>
        </w:rPr>
        <w:t>входящите елементи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Проверените и приети елементи се съхраняват</w:t>
      </w:r>
      <w:r>
        <w:rPr>
          <w:sz w:val="22"/>
        </w:rPr>
        <w:t xml:space="preserve"> в о</w:t>
      </w:r>
      <w:r>
        <w:rPr>
          <w:sz w:val="22"/>
          <w:lang w:val="bg-BG"/>
        </w:rPr>
        <w:t xml:space="preserve">пределено </w:t>
      </w:r>
      <w:r>
        <w:rPr>
          <w:sz w:val="22"/>
        </w:rPr>
        <w:t xml:space="preserve"> </w:t>
      </w:r>
      <w:r>
        <w:rPr>
          <w:sz w:val="22"/>
          <w:lang w:val="bg-BG"/>
        </w:rPr>
        <w:t>помещение, а</w:t>
      </w:r>
      <w:r>
        <w:rPr>
          <w:sz w:val="22"/>
        </w:rPr>
        <w:t xml:space="preserve"> отхвърлени</w:t>
      </w:r>
      <w:r>
        <w:rPr>
          <w:sz w:val="22"/>
          <w:lang w:val="bg-BG"/>
        </w:rPr>
        <w:t>те</w:t>
      </w:r>
      <w:r>
        <w:rPr>
          <w:sz w:val="22"/>
        </w:rPr>
        <w:t xml:space="preserve"> </w:t>
      </w:r>
      <w:r>
        <w:rPr>
          <w:sz w:val="22"/>
          <w:lang w:val="bg-BG"/>
        </w:rPr>
        <w:t>елементи</w:t>
      </w:r>
      <w:r>
        <w:rPr>
          <w:sz w:val="22"/>
        </w:rPr>
        <w:t xml:space="preserve"> се съхраняват </w:t>
      </w:r>
      <w:r>
        <w:rPr>
          <w:sz w:val="22"/>
          <w:lang w:val="bg-BG"/>
        </w:rPr>
        <w:t>в различно помощение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Проверените и приети </w:t>
      </w:r>
      <w:r>
        <w:rPr>
          <w:sz w:val="22"/>
        </w:rPr>
        <w:t xml:space="preserve">елементи са </w:t>
      </w:r>
      <w:r>
        <w:rPr>
          <w:sz w:val="22"/>
          <w:lang w:val="bg-BG"/>
        </w:rPr>
        <w:t xml:space="preserve">„изпращат” </w:t>
      </w:r>
      <w:r>
        <w:rPr>
          <w:sz w:val="22"/>
        </w:rPr>
        <w:t xml:space="preserve">за склад и се съхраняват в складови площи, предназначени за </w:t>
      </w:r>
      <w:r>
        <w:rPr>
          <w:sz w:val="22"/>
          <w:lang w:val="bg-BG"/>
        </w:rPr>
        <w:t>тази цел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Всеки краен продукт (UPS система / Inverter) се идентифицира чрез </w:t>
      </w:r>
      <w:r>
        <w:rPr>
          <w:sz w:val="22"/>
          <w:lang w:val="bg-BG"/>
        </w:rPr>
        <w:t>попълване</w:t>
      </w:r>
      <w:r>
        <w:rPr>
          <w:sz w:val="22"/>
        </w:rPr>
        <w:t xml:space="preserve"> на работни карти по време на различните етапи на производство.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След крайния контрол на продукта</w:t>
      </w:r>
      <w:r>
        <w:rPr>
          <w:sz w:val="22"/>
          <w:lang w:val="bg-BG"/>
        </w:rPr>
        <w:t xml:space="preserve"> той се маркира </w:t>
      </w:r>
      <w:r>
        <w:rPr>
          <w:sz w:val="22"/>
        </w:rPr>
        <w:t>с уникален сериен номер</w:t>
      </w:r>
      <w:r>
        <w:rPr>
          <w:sz w:val="22"/>
          <w:lang w:val="bg-BG"/>
        </w:rPr>
        <w:t>, като номер се слага на всички елементи на крайния продукт.</w:t>
      </w:r>
      <w:r>
        <w:rPr>
          <w:sz w:val="22"/>
        </w:rPr>
        <w:t xml:space="preserve"> </w:t>
      </w:r>
      <w:r>
        <w:rPr>
          <w:sz w:val="22"/>
          <w:lang w:val="bg-BG"/>
        </w:rPr>
        <w:t>Маркираният продукт се „изпраща” за продажба, доставка или дейности след доставка.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Нашата организация идентифицира състоянието на </w:t>
      </w:r>
      <w:r>
        <w:rPr>
          <w:sz w:val="22"/>
          <w:lang w:val="bg-BG"/>
        </w:rPr>
        <w:t>крайните продукти</w:t>
      </w:r>
      <w:r>
        <w:rPr>
          <w:sz w:val="22"/>
        </w:rPr>
        <w:t xml:space="preserve"> по отношение на изискванията за наблюдение и измерване </w:t>
      </w:r>
      <w:r>
        <w:rPr>
          <w:sz w:val="22"/>
          <w:lang w:val="bg-BG"/>
        </w:rPr>
        <w:t>на</w:t>
      </w:r>
      <w:r>
        <w:rPr>
          <w:sz w:val="22"/>
        </w:rPr>
        <w:t xml:space="preserve"> цялата продукция и предоставянето на услуги.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rPr>
          <w:i/>
          <w:sz w:val="22"/>
          <w:lang w:val="bg-BG"/>
        </w:rPr>
      </w:pPr>
      <w:r>
        <w:rPr>
          <w:i/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start="720" w:end="42"/>
        <w:rPr>
          <w:sz w:val="22"/>
          <w:lang w:val="bg-BG"/>
        </w:rPr>
      </w:pPr>
      <w:r>
        <w:rPr>
          <w:sz w:val="22"/>
          <w:lang w:val="bg-BG"/>
        </w:rPr>
        <w:tab/>
      </w:r>
      <w:r>
        <w:rPr>
          <w:sz w:val="22"/>
        </w:rPr>
        <w:t>Съгласно процедурите на системата за качество за проверка и планове</w:t>
      </w:r>
      <w:r>
        <w:rPr>
          <w:sz w:val="22"/>
          <w:lang w:val="bg-BG"/>
        </w:rPr>
        <w:t>те</w:t>
      </w:r>
      <w:r>
        <w:rPr>
          <w:sz w:val="22"/>
        </w:rPr>
        <w:t xml:space="preserve"> за качество.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977" w:footer="66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QEMR-Q-M-PR-</w:t>
          </w:r>
          <w:r>
            <w:rPr>
              <w:b/>
              <w:sz w:val="22"/>
              <w:lang w:val="bg-BG"/>
            </w:rPr>
            <w:t>18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-83185</wp:posOffset>
              </wp:positionV>
              <wp:extent cx="6318250" cy="144907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4490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ИДЕНТИФИКАЦИЯ, ПРОСЛЕДИМПСТ, ИНСПЕКЦИЯ И МАРКИРОВКА НА ПРОДУКТА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14.1pt;mso-wrap-distance-left:9.05pt;mso-wrap-distance-right:9.05pt;mso-wrap-distance-top:0pt;mso-wrap-distance-bottom:0pt;margin-top:-6.5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ИДЕНТИФИКАЦИЯ, ПРОСЛЕДИМПСТ, ИНСПЕКЦИЯ И МАРКИРОВКА НА ПРОДУКТА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u w:val="singl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u w:val="single"/>
    </w:rPr>
  </w:style>
  <w:style w:type="character" w:styleId="Style12">
    <w:name w:val="Шрифт на абзаца по подразбиране"/>
    <w:qFormat/>
    <w:rPr/>
  </w:style>
  <w:style w:type="character" w:styleId="Style13">
    <w:name w:val="Горен колонтитул Знак"/>
    <w:qFormat/>
    <w:rPr>
      <w:sz w:val="24"/>
      <w:lang w:val="en-US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2002-06-16T06:13:00Z</dcterms:created>
  <dc:creator>ws</dc:creator>
  <dc:description/>
  <cp:keywords/>
  <dc:language>bg-BG</dc:language>
  <cp:lastModifiedBy>Nikolay Trayanov</cp:lastModifiedBy>
  <cp:lastPrinted>2002-06-24T01:34:00Z</cp:lastPrinted>
  <dcterms:modified xsi:type="dcterms:W3CDTF">2023-07-11T14:59:00Z</dcterms:modified>
  <cp:revision>25</cp:revision>
  <dc:subject/>
  <dc:title>1</dc:title>
</cp:coreProperties>
</file>