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 xml:space="preserve"> :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О</w:t>
      </w:r>
      <w:r>
        <w:rPr>
          <w:sz w:val="22"/>
        </w:rPr>
        <w:t xml:space="preserve">съществяване на ефективна система за определяне и осигуряване на ресурсите, необходими за </w:t>
      </w:r>
      <w:r>
        <w:rPr>
          <w:sz w:val="22"/>
          <w:lang w:val="bg-BG"/>
        </w:rPr>
        <w:t>гарантиране</w:t>
      </w:r>
      <w:r>
        <w:rPr>
          <w:sz w:val="22"/>
        </w:rPr>
        <w:t xml:space="preserve"> на надеждни резултати</w:t>
      </w:r>
      <w:r>
        <w:rPr>
          <w:sz w:val="22"/>
          <w:lang w:val="bg-BG"/>
        </w:rPr>
        <w:t xml:space="preserve">, които </w:t>
      </w:r>
      <w:r>
        <w:rPr>
          <w:sz w:val="22"/>
        </w:rPr>
        <w:t>се използва</w:t>
      </w:r>
      <w:r>
        <w:rPr>
          <w:sz w:val="22"/>
          <w:lang w:val="bg-BG"/>
        </w:rPr>
        <w:t>т</w:t>
      </w:r>
      <w:r>
        <w:rPr>
          <w:sz w:val="22"/>
        </w:rPr>
        <w:t xml:space="preserve"> за проверка на съответствието на продукти</w:t>
      </w:r>
      <w:r>
        <w:rPr>
          <w:sz w:val="22"/>
          <w:lang w:val="bg-BG"/>
        </w:rPr>
        <w:t>те</w:t>
      </w:r>
      <w:r>
        <w:rPr>
          <w:sz w:val="22"/>
        </w:rPr>
        <w:t xml:space="preserve"> и услуги</w:t>
      </w:r>
      <w:r>
        <w:rPr>
          <w:sz w:val="22"/>
          <w:lang w:val="bg-BG"/>
        </w:rPr>
        <w:t xml:space="preserve">те </w:t>
      </w:r>
      <w:r>
        <w:rPr>
          <w:sz w:val="22"/>
        </w:rPr>
        <w:t>при мониторинг.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2. 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  <w:r>
        <w:rPr>
          <w:sz w:val="22"/>
          <w:u w:val="single"/>
        </w:rPr>
        <w:t xml:space="preserve"> </w:t>
      </w:r>
    </w:p>
    <w:p>
      <w:pPr>
        <w:pStyle w:val="Normal"/>
        <w:rPr>
          <w:sz w:val="22"/>
        </w:rPr>
      </w:pPr>
      <w:r>
        <w:rPr>
          <w:sz w:val="22"/>
        </w:rPr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Всичко</w:t>
      </w:r>
      <w:r>
        <w:rPr>
          <w:sz w:val="22"/>
          <w:lang w:val="bg-BG"/>
        </w:rPr>
        <w:t>, което се използва</w:t>
      </w:r>
      <w:r>
        <w:rPr>
          <w:sz w:val="22"/>
        </w:rPr>
        <w:t xml:space="preserve"> за измерване / изпитване на оборудване,</w:t>
      </w:r>
      <w:r>
        <w:rPr>
          <w:sz w:val="22"/>
          <w:lang w:val="bg-BG"/>
        </w:rPr>
        <w:t xml:space="preserve"> дизайн и разработка</w:t>
      </w:r>
      <w:r>
        <w:rPr>
          <w:sz w:val="22"/>
        </w:rPr>
        <w:t>, производство, контрол на качеството и сервизно обслужване.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color w:val="FF0000"/>
          <w:sz w:val="22"/>
        </w:rPr>
      </w:pPr>
      <w:r>
        <w:rPr>
          <w:color w:val="FF0000"/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  <w:u w:val="single"/>
        </w:rPr>
        <w:t xml:space="preserve">4.  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>
          <w:sz w:val="22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7.1.5 : Мониторинг и измерване на ресурси.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    </w:t>
      </w:r>
      <w:r>
        <w:rPr>
          <w:sz w:val="22"/>
        </w:rPr>
        <w:t>ISO14001:2015</w:t>
      </w:r>
      <w:r>
        <w:rPr>
          <w:sz w:val="22"/>
          <w:lang w:val="bg-BG"/>
        </w:rPr>
        <w:t xml:space="preserve">             </w:t>
      </w:r>
      <w:r>
        <w:rPr>
          <w:sz w:val="22"/>
        </w:rPr>
        <w:t xml:space="preserve">9.1.1 : Наблюдение, измерване, анализ и оценка - </w:t>
      </w:r>
      <w:r>
        <w:rPr>
          <w:sz w:val="22"/>
          <w:lang w:val="bg-BG"/>
        </w:rPr>
        <w:t>Общи</w:t>
      </w:r>
      <w:r>
        <w:rPr>
          <w:sz w:val="22"/>
        </w:rPr>
        <w:t>.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 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  <w:r>
        <w:rPr>
          <w:sz w:val="22"/>
          <w:u w:val="single"/>
        </w:rPr>
        <w:t xml:space="preserve"> 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Отговорник по ИСУ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Отговорникът по ИСУ</w:t>
      </w:r>
      <w:r>
        <w:rPr>
          <w:sz w:val="22"/>
        </w:rPr>
        <w:t xml:space="preserve"> е отговор</w:t>
      </w:r>
      <w:r>
        <w:rPr>
          <w:sz w:val="22"/>
          <w:lang w:val="bg-BG"/>
        </w:rPr>
        <w:t>е</w:t>
      </w:r>
      <w:r>
        <w:rPr>
          <w:sz w:val="22"/>
        </w:rPr>
        <w:t>н за изпълнението на тази процедура.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Той / тя е упълномощен да предоставя ресурси за ефективно прилагане на тази процедура.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1"/>
        <w:spacing w:lineRule="auto" w:line="480"/>
        <w:ind w:hanging="0" w:start="0"/>
        <w:rPr>
          <w:sz w:val="22"/>
          <w:lang w:val="bg-BG"/>
        </w:rPr>
      </w:pPr>
      <w:r>
        <w:rPr>
          <w:sz w:val="22"/>
          <w:lang w:val="bg-BG"/>
        </w:rPr>
        <w:t>Ползватели на ресурси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Ползвателите</w:t>
      </w:r>
      <w:r>
        <w:rPr>
          <w:sz w:val="22"/>
        </w:rPr>
        <w:t xml:space="preserve"> са отговорни за проверката на датата на валидност на калибриране преди употреба. Те трябва да изпрат</w:t>
      </w:r>
      <w:r>
        <w:rPr>
          <w:sz w:val="22"/>
          <w:lang w:val="bg-BG"/>
        </w:rPr>
        <w:t>ят</w:t>
      </w:r>
      <w:r>
        <w:rPr>
          <w:sz w:val="22"/>
        </w:rPr>
        <w:t xml:space="preserve"> измервателно оборудване</w:t>
      </w:r>
      <w:r>
        <w:rPr>
          <w:sz w:val="22"/>
          <w:lang w:val="bg-BG"/>
        </w:rPr>
        <w:t xml:space="preserve"> за калибриране</w:t>
      </w:r>
      <w:r>
        <w:rPr>
          <w:sz w:val="22"/>
        </w:rPr>
        <w:t xml:space="preserve"> </w:t>
      </w:r>
      <w:r>
        <w:rPr>
          <w:sz w:val="22"/>
          <w:lang w:val="bg-BG"/>
        </w:rPr>
        <w:t>на</w:t>
      </w:r>
      <w:r>
        <w:rPr>
          <w:sz w:val="22"/>
        </w:rPr>
        <w:t xml:space="preserve"> </w:t>
      </w:r>
      <w:r>
        <w:rPr>
          <w:sz w:val="22"/>
          <w:lang w:val="bg-BG"/>
        </w:rPr>
        <w:t>Отговорника по качеството</w:t>
      </w:r>
      <w:r>
        <w:rPr>
          <w:sz w:val="22"/>
        </w:rPr>
        <w:t xml:space="preserve"> за, когато е необходимо.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 xml:space="preserve">: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Нашата организация има внедрена система за определяне и осигуряване на необходимите ресурси, за да се гарантира</w:t>
      </w:r>
      <w:r>
        <w:rPr>
          <w:sz w:val="22"/>
          <w:lang w:val="bg-BG"/>
        </w:rPr>
        <w:t>т</w:t>
      </w:r>
      <w:r>
        <w:rPr>
          <w:sz w:val="22"/>
        </w:rPr>
        <w:t>, валидни и надеждни резултати при мониторинг</w:t>
      </w:r>
      <w:r>
        <w:rPr>
          <w:sz w:val="22"/>
          <w:lang w:val="bg-BG"/>
        </w:rPr>
        <w:t>. З</w:t>
      </w:r>
      <w:r>
        <w:rPr>
          <w:sz w:val="22"/>
        </w:rPr>
        <w:t xml:space="preserve">а измерване </w:t>
      </w:r>
      <w:r>
        <w:rPr>
          <w:sz w:val="22"/>
          <w:lang w:val="bg-BG"/>
        </w:rPr>
        <w:t xml:space="preserve">и проверка </w:t>
      </w:r>
      <w:r>
        <w:rPr>
          <w:sz w:val="22"/>
        </w:rPr>
        <w:t xml:space="preserve">се използва съответствието на продукти и услуги </w:t>
      </w:r>
      <w:r>
        <w:rPr>
          <w:sz w:val="22"/>
          <w:lang w:val="bg-BG"/>
        </w:rPr>
        <w:t>с</w:t>
      </w:r>
      <w:r>
        <w:rPr>
          <w:sz w:val="22"/>
        </w:rPr>
        <w:t xml:space="preserve"> изискванията</w:t>
      </w:r>
      <w:r>
        <w:rPr>
          <w:sz w:val="22"/>
          <w:lang w:val="bg-BG"/>
        </w:rPr>
        <w:t xml:space="preserve"> на клиентите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Организацията гарантира, че предвидените средства са</w:t>
      </w:r>
      <w:r>
        <w:rPr>
          <w:sz w:val="22"/>
          <w:lang w:val="bg-BG"/>
        </w:rPr>
        <w:t>: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- Подходящ</w:t>
      </w:r>
      <w:r>
        <w:rPr>
          <w:sz w:val="22"/>
          <w:lang w:val="bg-BG"/>
        </w:rPr>
        <w:t>и</w:t>
      </w:r>
      <w:r>
        <w:rPr>
          <w:sz w:val="22"/>
        </w:rPr>
        <w:t xml:space="preserve"> за конкретния вид дейности за мониторинг и измерване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- Поддържат</w:t>
      </w:r>
      <w:r>
        <w:rPr>
          <w:sz w:val="22"/>
          <w:lang w:val="bg-BG"/>
        </w:rPr>
        <w:t>а се</w:t>
      </w:r>
      <w:r>
        <w:rPr>
          <w:sz w:val="22"/>
        </w:rPr>
        <w:t xml:space="preserve"> с цел осигуряване на тяхн</w:t>
      </w:r>
      <w:r>
        <w:rPr>
          <w:sz w:val="22"/>
          <w:lang w:val="bg-BG"/>
        </w:rPr>
        <w:t>а</w:t>
      </w:r>
      <w:r>
        <w:rPr>
          <w:sz w:val="22"/>
        </w:rPr>
        <w:t>т</w:t>
      </w:r>
      <w:r>
        <w:rPr>
          <w:sz w:val="22"/>
          <w:lang w:val="bg-BG"/>
        </w:rPr>
        <w:t>а</w:t>
      </w:r>
      <w:r>
        <w:rPr>
          <w:sz w:val="22"/>
        </w:rPr>
        <w:t xml:space="preserve"> непрекъснат</w:t>
      </w:r>
      <w:r>
        <w:rPr>
          <w:sz w:val="22"/>
          <w:lang w:val="bg-BG"/>
        </w:rPr>
        <w:t>а</w:t>
      </w:r>
      <w:r>
        <w:rPr>
          <w:sz w:val="22"/>
        </w:rPr>
        <w:t xml:space="preserve"> пригодност за предназначението им.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/>
      </w:pPr>
      <w:r>
        <w:rPr>
          <w:b/>
          <w:sz w:val="22"/>
          <w:u w:val="single"/>
        </w:rPr>
        <w:t xml:space="preserve">Проследимост </w:t>
      </w:r>
      <w:r>
        <w:rPr>
          <w:b/>
          <w:sz w:val="22"/>
          <w:u w:val="single"/>
          <w:lang w:val="bg-BG"/>
        </w:rPr>
        <w:t>и и</w:t>
      </w:r>
      <w:r>
        <w:rPr>
          <w:b/>
          <w:sz w:val="22"/>
          <w:u w:val="single"/>
        </w:rPr>
        <w:t>змерване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Когато измерването </w:t>
      </w:r>
      <w:r>
        <w:rPr>
          <w:sz w:val="22"/>
          <w:lang w:val="bg-BG"/>
        </w:rPr>
        <w:t xml:space="preserve">и </w:t>
      </w:r>
      <w:r>
        <w:rPr>
          <w:sz w:val="22"/>
        </w:rPr>
        <w:t>проследимост</w:t>
      </w:r>
      <w:r>
        <w:rPr>
          <w:sz w:val="22"/>
          <w:lang w:val="bg-BG"/>
        </w:rPr>
        <w:t>та са</w:t>
      </w:r>
      <w:r>
        <w:rPr>
          <w:sz w:val="22"/>
        </w:rPr>
        <w:t xml:space="preserve"> изиск</w:t>
      </w:r>
      <w:r>
        <w:rPr>
          <w:sz w:val="22"/>
          <w:lang w:val="bg-BG"/>
        </w:rPr>
        <w:t>ани</w:t>
      </w:r>
      <w:r>
        <w:rPr>
          <w:sz w:val="22"/>
        </w:rPr>
        <w:t>, или с</w:t>
      </w:r>
      <w:r>
        <w:rPr>
          <w:sz w:val="22"/>
          <w:lang w:val="bg-BG"/>
        </w:rPr>
        <w:t>а</w:t>
      </w:r>
      <w:r>
        <w:rPr>
          <w:sz w:val="22"/>
        </w:rPr>
        <w:t xml:space="preserve"> счита</w:t>
      </w:r>
      <w:r>
        <w:rPr>
          <w:sz w:val="22"/>
          <w:lang w:val="bg-BG"/>
        </w:rPr>
        <w:t>ни</w:t>
      </w:r>
      <w:r>
        <w:rPr>
          <w:sz w:val="22"/>
        </w:rPr>
        <w:t xml:space="preserve"> от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 </w:t>
      </w:r>
      <w:r>
        <w:rPr>
          <w:sz w:val="22"/>
          <w:lang w:val="bg-BG"/>
        </w:rPr>
        <w:t>като</w:t>
      </w:r>
      <w:r>
        <w:rPr>
          <w:sz w:val="22"/>
        </w:rPr>
        <w:t xml:space="preserve"> съществена част от осигуряване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доверие във валидността на резултатите от измерване, измервателн</w:t>
      </w:r>
      <w:r>
        <w:rPr>
          <w:sz w:val="22"/>
          <w:lang w:val="bg-BG"/>
        </w:rPr>
        <w:t>ите апарати са: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a) калибрирани или проверени, на определени интервали, или преди да се използва</w:t>
      </w:r>
      <w:r>
        <w:rPr>
          <w:sz w:val="22"/>
          <w:lang w:val="bg-BG"/>
        </w:rPr>
        <w:t>т</w:t>
      </w:r>
      <w:r>
        <w:rPr>
          <w:sz w:val="22"/>
        </w:rPr>
        <w:t xml:space="preserve">, </w:t>
      </w:r>
      <w:r>
        <w:rPr>
          <w:sz w:val="22"/>
          <w:lang w:val="bg-BG"/>
        </w:rPr>
        <w:t xml:space="preserve">отговарят на </w:t>
      </w:r>
      <w:r>
        <w:rPr>
          <w:sz w:val="22"/>
        </w:rPr>
        <w:t xml:space="preserve"> стандарти</w:t>
      </w:r>
      <w:r>
        <w:rPr>
          <w:sz w:val="22"/>
          <w:lang w:val="bg-BG"/>
        </w:rPr>
        <w:t>те</w:t>
      </w:r>
      <w:r>
        <w:rPr>
          <w:sz w:val="22"/>
        </w:rPr>
        <w:t xml:space="preserve">, съизмерими </w:t>
      </w:r>
      <w:r>
        <w:rPr>
          <w:sz w:val="22"/>
          <w:lang w:val="bg-BG"/>
        </w:rPr>
        <w:t xml:space="preserve">са </w:t>
      </w:r>
      <w:r>
        <w:rPr>
          <w:sz w:val="22"/>
        </w:rPr>
        <w:t xml:space="preserve">с международните и национални стандарти за измерване; </w:t>
      </w:r>
      <w:r>
        <w:rPr>
          <w:sz w:val="22"/>
          <w:lang w:val="bg-BG"/>
        </w:rPr>
        <w:t>като се запазва документирана информация мотносно тяхното състояние;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идентифицира</w:t>
      </w:r>
      <w:r>
        <w:rPr>
          <w:sz w:val="22"/>
          <w:lang w:val="bg-BG"/>
        </w:rPr>
        <w:t>ни са</w:t>
      </w:r>
      <w:r>
        <w:rPr>
          <w:sz w:val="22"/>
        </w:rPr>
        <w:t xml:space="preserve"> с цел да се определи техния статут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c) предпазен</w:t>
      </w:r>
      <w:r>
        <w:rPr>
          <w:sz w:val="22"/>
          <w:lang w:val="bg-BG"/>
        </w:rPr>
        <w:t>и са</w:t>
      </w:r>
      <w:r>
        <w:rPr>
          <w:sz w:val="22"/>
        </w:rPr>
        <w:t xml:space="preserve"> от корекции, повреда или влошаване, което би довело до анулиране на статута на калибриране и последващите резултати от измерванията.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Организацията</w:t>
      </w:r>
      <w:r>
        <w:rPr>
          <w:sz w:val="22"/>
        </w:rPr>
        <w:t xml:space="preserve"> също така определ</w:t>
      </w:r>
      <w:r>
        <w:rPr>
          <w:sz w:val="22"/>
          <w:lang w:val="bg-BG"/>
        </w:rPr>
        <w:t>я</w:t>
      </w:r>
      <w:r>
        <w:rPr>
          <w:sz w:val="22"/>
        </w:rPr>
        <w:t xml:space="preserve"> валидността на предишните резултати от измерванията и предприема необходимите действия, ако е необходимо.</w:t>
      </w:r>
    </w:p>
    <w:p>
      <w:pPr>
        <w:pStyle w:val="Normal"/>
        <w:ind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/>
      </w:pPr>
      <w:r>
        <w:rPr>
          <w:b/>
          <w:sz w:val="22"/>
          <w:u w:val="single"/>
        </w:rPr>
        <w:t>Подробн</w:t>
      </w:r>
      <w:r>
        <w:rPr>
          <w:b/>
          <w:sz w:val="22"/>
          <w:u w:val="single"/>
          <w:lang w:val="bg-BG"/>
        </w:rPr>
        <w:t>о описание на процедурата</w:t>
      </w:r>
      <w:r>
        <w:rPr>
          <w:b/>
          <w:sz w:val="22"/>
          <w:u w:val="single"/>
        </w:rPr>
        <w:t>: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jc w:val="both"/>
        <w:rPr/>
      </w:pPr>
      <w:r>
        <w:rPr>
          <w:b/>
          <w:sz w:val="22"/>
          <w:u w:val="single"/>
          <w:lang w:val="bg-BG"/>
        </w:rPr>
        <w:t>6.а</w:t>
      </w:r>
      <w:r>
        <w:rPr>
          <w:b/>
          <w:sz w:val="22"/>
          <w:u w:val="single"/>
        </w:rPr>
        <w:t xml:space="preserve"> Определяне на изискван</w:t>
      </w:r>
      <w:r>
        <w:rPr>
          <w:b/>
          <w:sz w:val="22"/>
          <w:u w:val="single"/>
          <w:lang w:val="bg-BG"/>
        </w:rPr>
        <w:t>ия</w:t>
      </w:r>
      <w:r>
        <w:rPr>
          <w:b/>
          <w:sz w:val="22"/>
          <w:u w:val="single"/>
        </w:rPr>
        <w:t xml:space="preserve"> за измерване и точност</w:t>
      </w:r>
    </w:p>
    <w:p>
      <w:pPr>
        <w:pStyle w:val="Normal"/>
        <w:ind w:firstLine="720" w:end="0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Тип и точност на измерванията се определя въз основа на изискванията по време на процеса (обслужваща инспекция / изпитване, </w:t>
      </w:r>
      <w:r>
        <w:rPr>
          <w:sz w:val="22"/>
          <w:lang w:val="bg-BG"/>
        </w:rPr>
        <w:t>краен продукт</w:t>
      </w:r>
      <w:r>
        <w:rPr>
          <w:sz w:val="22"/>
        </w:rPr>
        <w:t>)</w:t>
      </w:r>
      <w:r>
        <w:rPr>
          <w:sz w:val="22"/>
          <w:lang w:val="bg-BG"/>
        </w:rPr>
        <w:t>.</w:t>
      </w:r>
      <w:r>
        <w:rPr>
          <w:sz w:val="22"/>
        </w:rPr>
        <w:t xml:space="preserve">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As a universally accepted rule, the least count of the instrument should not exceed 10% of the tolerance band (+/- tolerance) on the specifications for measured feature.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6.</w:t>
      </w:r>
      <w:r>
        <w:rPr>
          <w:b/>
          <w:sz w:val="22"/>
          <w:u w:val="single"/>
        </w:rPr>
        <w:t>b</w:t>
      </w:r>
      <w:r>
        <w:rPr>
          <w:b/>
          <w:sz w:val="22"/>
          <w:u w:val="single"/>
          <w:lang w:val="bg-BG"/>
        </w:rPr>
        <w:t xml:space="preserve"> О</w:t>
      </w:r>
      <w:r>
        <w:rPr>
          <w:b/>
          <w:sz w:val="22"/>
          <w:u w:val="single"/>
        </w:rPr>
        <w:t xml:space="preserve">борудване, изискващо </w:t>
      </w:r>
      <w:r>
        <w:rPr>
          <w:b/>
          <w:sz w:val="22"/>
          <w:u w:val="single"/>
          <w:lang w:val="bg-BG"/>
        </w:rPr>
        <w:t>калибрация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Индетифициране на в</w:t>
      </w:r>
      <w:r>
        <w:rPr>
          <w:sz w:val="22"/>
        </w:rPr>
        <w:t xml:space="preserve">сички </w:t>
      </w:r>
      <w:r>
        <w:rPr>
          <w:sz w:val="22"/>
          <w:lang w:val="bg-BG"/>
        </w:rPr>
        <w:t xml:space="preserve">ресурси, които подлежат на </w:t>
      </w:r>
      <w:r>
        <w:rPr>
          <w:sz w:val="22"/>
        </w:rPr>
        <w:t xml:space="preserve">мониторинг и измерване </w:t>
      </w:r>
      <w:r>
        <w:rPr>
          <w:sz w:val="22"/>
          <w:lang w:val="bg-BG"/>
        </w:rPr>
        <w:t>и</w:t>
      </w:r>
      <w:r>
        <w:rPr>
          <w:sz w:val="22"/>
        </w:rPr>
        <w:t xml:space="preserve"> могат да повлияят на качеството на продукта / услугата.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Отговорникът по ИСУ поддържа </w:t>
      </w:r>
      <w:r>
        <w:rPr>
          <w:sz w:val="22"/>
        </w:rPr>
        <w:t>"</w:t>
      </w:r>
      <w:r>
        <w:rPr>
          <w:sz w:val="22"/>
          <w:lang w:val="bg-BG"/>
        </w:rPr>
        <w:t>Формуляр</w:t>
      </w:r>
      <w:r>
        <w:rPr>
          <w:sz w:val="22"/>
        </w:rPr>
        <w:t xml:space="preserve"> </w:t>
      </w:r>
      <w:r>
        <w:rPr>
          <w:sz w:val="22"/>
          <w:lang w:val="bg-BG"/>
        </w:rPr>
        <w:t>Главен с</w:t>
      </w:r>
      <w:r>
        <w:rPr>
          <w:sz w:val="22"/>
        </w:rPr>
        <w:t xml:space="preserve">писък </w:t>
      </w:r>
      <w:r>
        <w:rPr>
          <w:sz w:val="22"/>
          <w:lang w:val="bg-BG"/>
        </w:rPr>
        <w:t xml:space="preserve">за </w:t>
      </w:r>
      <w:r>
        <w:rPr>
          <w:sz w:val="22"/>
        </w:rPr>
        <w:t>наблюдение и измерване на ресурси (Q</w:t>
      </w:r>
      <w:r>
        <w:rPr>
          <w:sz w:val="22"/>
          <w:lang w:val="bg-BG"/>
        </w:rPr>
        <w:t>Е</w:t>
      </w:r>
      <w:r>
        <w:rPr>
          <w:sz w:val="22"/>
        </w:rPr>
        <w:t>MR-Q-F-PR23-001)</w:t>
      </w:r>
      <w:r>
        <w:rPr>
          <w:sz w:val="22"/>
          <w:lang w:val="bg-BG"/>
        </w:rPr>
        <w:t xml:space="preserve">. Списъкът </w:t>
      </w:r>
      <w:r>
        <w:rPr>
          <w:sz w:val="22"/>
        </w:rPr>
        <w:t>съдържа адекватна информация за оборудването, включително периода на калибриране, стандарта за калибриране и т.н.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b/>
          <w:sz w:val="22"/>
          <w:lang w:val="bg-BG"/>
        </w:rPr>
      </w:pPr>
      <w:r>
        <w:rPr>
          <w:b/>
          <w:sz w:val="22"/>
          <w:lang w:val="bg-BG"/>
        </w:rPr>
        <w:t>6.</w:t>
      </w:r>
      <w:r>
        <w:rPr>
          <w:b/>
          <w:sz w:val="22"/>
        </w:rPr>
        <w:t xml:space="preserve">c) </w:t>
      </w:r>
      <w:r>
        <w:rPr>
          <w:b/>
          <w:sz w:val="22"/>
          <w:lang w:val="bg-BG"/>
        </w:rPr>
        <w:t>У</w:t>
      </w:r>
      <w:r>
        <w:rPr>
          <w:b/>
          <w:sz w:val="22"/>
        </w:rPr>
        <w:t xml:space="preserve">правление на </w:t>
      </w:r>
      <w:r>
        <w:rPr>
          <w:b/>
          <w:sz w:val="22"/>
          <w:lang w:val="bg-BG"/>
        </w:rPr>
        <w:t>калибрацията</w:t>
      </w:r>
    </w:p>
    <w:p>
      <w:pPr>
        <w:pStyle w:val="Normal"/>
        <w:jc w:val="both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Главният с</w:t>
      </w:r>
      <w:r>
        <w:rPr>
          <w:sz w:val="22"/>
        </w:rPr>
        <w:t xml:space="preserve">писък </w:t>
      </w:r>
      <w:r>
        <w:rPr>
          <w:sz w:val="22"/>
          <w:lang w:val="bg-BG"/>
        </w:rPr>
        <w:t xml:space="preserve">за </w:t>
      </w:r>
      <w:r>
        <w:rPr>
          <w:sz w:val="22"/>
        </w:rPr>
        <w:t>наблюдение и измерване на ресурси съдържа следната информация: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</w:t>
      </w:r>
      <w:r>
        <w:rPr>
          <w:sz w:val="22"/>
          <w:lang w:val="bg-BG"/>
        </w:rPr>
        <w:t>В</w:t>
      </w:r>
      <w:r>
        <w:rPr>
          <w:sz w:val="22"/>
        </w:rPr>
        <w:t>ид техника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Уникален идентификационен номер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c) </w:t>
      </w:r>
      <w:r>
        <w:rPr>
          <w:sz w:val="22"/>
          <w:lang w:val="bg-BG"/>
        </w:rPr>
        <w:t>М</w:t>
      </w:r>
      <w:r>
        <w:rPr>
          <w:sz w:val="22"/>
        </w:rPr>
        <w:t>ясто на използване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d) Честота на калибриране проверка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e) Начин на проверка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f) Отговорността за проверка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j) </w:t>
      </w:r>
      <w:r>
        <w:rPr>
          <w:sz w:val="22"/>
          <w:lang w:val="bg-BG"/>
        </w:rPr>
        <w:t>К</w:t>
      </w:r>
      <w:r>
        <w:rPr>
          <w:sz w:val="22"/>
        </w:rPr>
        <w:t>ритерии за приемане (максимална грешка)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i) Действия, които се предприемат за незадоволителни резултати.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Отговорникът по качеството</w:t>
      </w:r>
      <w:r>
        <w:rPr>
          <w:sz w:val="22"/>
        </w:rPr>
        <w:t xml:space="preserve"> също поддържа "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 xml:space="preserve">Годишен </w:t>
      </w:r>
      <w:r>
        <w:rPr>
          <w:sz w:val="22"/>
          <w:lang w:val="bg-BG"/>
        </w:rPr>
        <w:t>г</w:t>
      </w:r>
      <w:r>
        <w:rPr>
          <w:sz w:val="22"/>
        </w:rPr>
        <w:t xml:space="preserve">рафик </w:t>
      </w:r>
      <w:r>
        <w:rPr>
          <w:sz w:val="22"/>
          <w:lang w:val="bg-BG"/>
        </w:rPr>
        <w:t>за калибрация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MR-Q-F-PR23-002)", за всички съоръжения в </w:t>
      </w:r>
      <w:r>
        <w:rPr>
          <w:sz w:val="22"/>
          <w:lang w:val="bg-BG"/>
        </w:rPr>
        <w:t xml:space="preserve">главния </w:t>
      </w:r>
      <w:r>
        <w:rPr>
          <w:sz w:val="22"/>
        </w:rPr>
        <w:t>списък.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/>
      </w:pPr>
      <w:r>
        <w:rPr>
          <w:b/>
          <w:sz w:val="22"/>
          <w:u w:val="single"/>
          <w:lang w:val="bg-BG"/>
        </w:rPr>
        <w:t xml:space="preserve">6. </w:t>
      </w:r>
      <w:r>
        <w:rPr>
          <w:b/>
          <w:sz w:val="22"/>
          <w:u w:val="single"/>
        </w:rPr>
        <w:t xml:space="preserve">d </w:t>
      </w:r>
      <w:r>
        <w:rPr>
          <w:b/>
          <w:sz w:val="22"/>
          <w:u w:val="single"/>
          <w:lang w:val="bg-BG"/>
        </w:rPr>
        <w:t>И</w:t>
      </w:r>
      <w:r>
        <w:rPr>
          <w:b/>
          <w:sz w:val="22"/>
          <w:u w:val="single"/>
        </w:rPr>
        <w:t>дентификация и калибриране тагове статуси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Всяка техника в </w:t>
      </w:r>
      <w:r>
        <w:rPr>
          <w:sz w:val="22"/>
          <w:lang w:val="bg-BG"/>
        </w:rPr>
        <w:t xml:space="preserve">главния </w:t>
      </w:r>
      <w:r>
        <w:rPr>
          <w:sz w:val="22"/>
        </w:rPr>
        <w:t xml:space="preserve">списък </w:t>
      </w:r>
      <w:r>
        <w:rPr>
          <w:sz w:val="22"/>
          <w:lang w:val="bg-BG"/>
        </w:rPr>
        <w:t>се обозначава с</w:t>
      </w:r>
      <w:r>
        <w:rPr>
          <w:sz w:val="22"/>
        </w:rPr>
        <w:t xml:space="preserve"> "</w:t>
      </w:r>
      <w:r>
        <w:rPr>
          <w:sz w:val="22"/>
          <w:lang w:val="bg-BG"/>
        </w:rPr>
        <w:t>Формуляр Етикет Калибрация</w:t>
      </w:r>
      <w:r>
        <w:rPr>
          <w:sz w:val="22"/>
        </w:rPr>
        <w:t xml:space="preserve">/ Изпълнение </w:t>
      </w:r>
      <w:r>
        <w:rPr>
          <w:sz w:val="22"/>
          <w:lang w:val="bg-BG"/>
        </w:rPr>
        <w:t xml:space="preserve">/ </w:t>
      </w:r>
      <w:r>
        <w:rPr>
          <w:sz w:val="22"/>
        </w:rPr>
        <w:t>Проверка на състоянието (Q</w:t>
      </w:r>
      <w:r>
        <w:rPr>
          <w:sz w:val="22"/>
          <w:lang w:val="bg-BG"/>
        </w:rPr>
        <w:t>Е</w:t>
      </w:r>
      <w:r>
        <w:rPr>
          <w:sz w:val="22"/>
        </w:rPr>
        <w:t>MR-Q-F-PR23-003)"</w:t>
      </w:r>
      <w:r>
        <w:rPr>
          <w:sz w:val="22"/>
          <w:lang w:val="bg-BG"/>
        </w:rPr>
        <w:t xml:space="preserve">, където </w:t>
      </w:r>
      <w:r>
        <w:rPr>
          <w:sz w:val="22"/>
        </w:rPr>
        <w:t xml:space="preserve">ясно се </w:t>
      </w:r>
      <w:r>
        <w:rPr>
          <w:sz w:val="22"/>
          <w:lang w:val="bg-BG"/>
        </w:rPr>
        <w:t>описва</w:t>
      </w:r>
      <w:r>
        <w:rPr>
          <w:sz w:val="22"/>
        </w:rPr>
        <w:t xml:space="preserve"> следното: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a. Идентификационен номер на оборудването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b. Дата на последното калибриране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c. Падеж на следващия калибриране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d. Подпис на </w:t>
      </w:r>
      <w:r>
        <w:rPr>
          <w:sz w:val="22"/>
          <w:lang w:val="bg-BG"/>
        </w:rPr>
        <w:t xml:space="preserve">извършилият </w:t>
      </w:r>
      <w:r>
        <w:rPr>
          <w:sz w:val="22"/>
        </w:rPr>
        <w:t>калибриране</w:t>
      </w:r>
      <w:r>
        <w:rPr>
          <w:sz w:val="22"/>
          <w:lang w:val="bg-BG"/>
        </w:rPr>
        <w:t>то.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6.</w:t>
      </w:r>
      <w:r>
        <w:rPr>
          <w:b/>
          <w:sz w:val="22"/>
          <w:u w:val="single"/>
        </w:rPr>
        <w:t xml:space="preserve">f </w:t>
      </w:r>
      <w:r>
        <w:rPr>
          <w:b/>
          <w:sz w:val="22"/>
          <w:u w:val="single"/>
          <w:lang w:val="bg-BG"/>
        </w:rPr>
        <w:t>Дейности и записи по калибрирането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b/>
          <w:sz w:val="22"/>
          <w:u w:val="single"/>
        </w:rPr>
        <w:t>Нашата организация</w:t>
      </w:r>
      <w:r>
        <w:rPr>
          <w:sz w:val="22"/>
        </w:rPr>
        <w:t xml:space="preserve"> </w:t>
      </w:r>
      <w:r>
        <w:rPr>
          <w:sz w:val="22"/>
          <w:lang w:val="bg-BG"/>
        </w:rPr>
        <w:t>съхранява</w:t>
      </w:r>
      <w:r>
        <w:rPr>
          <w:sz w:val="22"/>
        </w:rPr>
        <w:t xml:space="preserve"> подходящ</w:t>
      </w:r>
      <w:r>
        <w:rPr>
          <w:sz w:val="22"/>
          <w:lang w:val="bg-BG"/>
        </w:rPr>
        <w:t>а</w:t>
      </w:r>
      <w:r>
        <w:rPr>
          <w:sz w:val="22"/>
        </w:rPr>
        <w:t xml:space="preserve"> документирана информация като доказателство за годност на средствата за наблюдение и измерване.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Отговорникът по ИСУ</w:t>
      </w:r>
      <w:r>
        <w:rPr>
          <w:sz w:val="22"/>
        </w:rPr>
        <w:t xml:space="preserve"> поддържа </w:t>
      </w:r>
      <w:r>
        <w:rPr>
          <w:sz w:val="22"/>
          <w:lang w:val="bg-BG"/>
        </w:rPr>
        <w:t xml:space="preserve">записите по </w:t>
      </w:r>
      <w:r>
        <w:rPr>
          <w:sz w:val="22"/>
        </w:rPr>
        <w:t>калибриране</w:t>
      </w:r>
      <w:r>
        <w:rPr>
          <w:sz w:val="22"/>
          <w:lang w:val="bg-BG"/>
        </w:rPr>
        <w:t>то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В случай на калибриране, извършен</w:t>
      </w:r>
      <w:r>
        <w:rPr>
          <w:sz w:val="22"/>
          <w:lang w:val="bg-BG"/>
        </w:rPr>
        <w:t>о</w:t>
      </w:r>
      <w:r>
        <w:rPr>
          <w:sz w:val="22"/>
        </w:rPr>
        <w:t xml:space="preserve"> от външни агенции, </w:t>
      </w:r>
      <w:r>
        <w:rPr>
          <w:sz w:val="22"/>
          <w:lang w:val="bg-BG"/>
        </w:rPr>
        <w:t xml:space="preserve">получените от тях </w:t>
      </w:r>
      <w:r>
        <w:rPr>
          <w:sz w:val="22"/>
        </w:rPr>
        <w:t>свидетелства за калибриране</w:t>
      </w:r>
      <w:r>
        <w:rPr>
          <w:sz w:val="22"/>
          <w:lang w:val="bg-BG"/>
        </w:rPr>
        <w:t>, също се съхраняват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В случай на проверка на калибрирането / производителност в </w:t>
      </w:r>
      <w:r>
        <w:rPr>
          <w:sz w:val="22"/>
          <w:lang w:val="bg-BG"/>
        </w:rPr>
        <w:t>отдел</w:t>
      </w:r>
      <w:r>
        <w:rPr>
          <w:sz w:val="22"/>
        </w:rPr>
        <w:t>, резултатите се записват в "</w:t>
      </w:r>
      <w:r>
        <w:rPr>
          <w:sz w:val="22"/>
          <w:lang w:val="bg-BG"/>
        </w:rPr>
        <w:t>Формуляр Доклад от калибриране по отдели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MR-Q-F-PR23-004)" </w:t>
      </w:r>
      <w:r>
        <w:rPr>
          <w:sz w:val="22"/>
          <w:lang w:val="bg-BG"/>
        </w:rPr>
        <w:t>.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jc w:val="both"/>
        <w:rPr/>
      </w:pPr>
      <w:r>
        <w:rPr>
          <w:b/>
          <w:sz w:val="22"/>
          <w:u w:val="single"/>
          <w:lang w:val="bg-BG"/>
        </w:rPr>
        <w:t>6.</w:t>
      </w:r>
      <w:r>
        <w:rPr>
          <w:b/>
          <w:sz w:val="22"/>
          <w:u w:val="single"/>
        </w:rPr>
        <w:t>g Out - калибриране на събития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Ако се установи, измервателна техника, за да бъде извън калибриране по време на използването му (преди следващия калибриране), проверката и изпитването, проведено с помощта на тази измервателна апаратура преди намирането на състоянието на вън-на-на калибриране се преоцени и валидността на тези, инспектиране / тестове документирани.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Отговорникът по ИСУ</w:t>
      </w:r>
      <w:r>
        <w:rPr>
          <w:sz w:val="22"/>
        </w:rPr>
        <w:t xml:space="preserve"> поддържа "Регистър на Извън Calibration Събития (Q</w:t>
      </w:r>
      <w:r>
        <w:rPr>
          <w:sz w:val="22"/>
          <w:lang w:val="bg-BG"/>
        </w:rPr>
        <w:t>Е</w:t>
      </w:r>
      <w:r>
        <w:rPr>
          <w:sz w:val="22"/>
        </w:rPr>
        <w:t>MR-Q-F-PR23-005)" за запис на такива излезли от калибриране събития.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/>
      </w:pPr>
      <w:r>
        <w:rPr>
          <w:b/>
          <w:sz w:val="22"/>
          <w:u w:val="single"/>
          <w:lang w:val="bg-BG"/>
        </w:rPr>
        <w:t xml:space="preserve">6. </w:t>
      </w:r>
      <w:r>
        <w:rPr>
          <w:b/>
          <w:sz w:val="22"/>
          <w:u w:val="single"/>
        </w:rPr>
        <w:t>i Условия на околната среда за калибриране / инспекция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Очаквани</w:t>
      </w:r>
      <w:r>
        <w:rPr>
          <w:sz w:val="22"/>
          <w:lang w:val="bg-BG"/>
        </w:rPr>
        <w:t>те</w:t>
      </w:r>
      <w:r>
        <w:rPr>
          <w:sz w:val="22"/>
        </w:rPr>
        <w:t xml:space="preserve"> условия на околната среда (както и метода на измерване) за проверка на изпълнение са определени в "Работни инструкции </w:t>
      </w:r>
      <w:r>
        <w:rPr>
          <w:sz w:val="22"/>
          <w:lang w:val="bg-BG"/>
        </w:rPr>
        <w:t>за калибрация”.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6.</w:t>
      </w:r>
      <w:r>
        <w:rPr>
          <w:b/>
          <w:sz w:val="22"/>
          <w:u w:val="single"/>
        </w:rPr>
        <w:t xml:space="preserve">j Обработка, съхранение, както и </w:t>
      </w:r>
      <w:r>
        <w:rPr>
          <w:b/>
          <w:sz w:val="22"/>
          <w:u w:val="single"/>
          <w:lang w:val="bg-BG"/>
        </w:rPr>
        <w:t>складиране</w:t>
      </w:r>
      <w:r>
        <w:rPr>
          <w:b/>
          <w:sz w:val="22"/>
          <w:u w:val="single"/>
        </w:rPr>
        <w:t xml:space="preserve"> на инструмент</w:t>
      </w:r>
      <w:r>
        <w:rPr>
          <w:b/>
          <w:sz w:val="22"/>
          <w:u w:val="single"/>
          <w:lang w:val="bg-BG"/>
        </w:rPr>
        <w:t>и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Упътванията</w:t>
      </w:r>
      <w:r>
        <w:rPr>
          <w:sz w:val="22"/>
        </w:rPr>
        <w:t xml:space="preserve"> на производителя на оборудване са </w:t>
      </w:r>
      <w:r>
        <w:rPr>
          <w:sz w:val="22"/>
          <w:lang w:val="bg-BG"/>
        </w:rPr>
        <w:t>своеобразен наръчник</w:t>
      </w:r>
      <w:r>
        <w:rPr>
          <w:sz w:val="22"/>
        </w:rPr>
        <w:t xml:space="preserve"> за обработка, съхраняване и складиране на средства за измерване. Обобщение на изложеното по-горе е включен</w:t>
      </w:r>
      <w:r>
        <w:rPr>
          <w:sz w:val="22"/>
          <w:lang w:val="bg-BG"/>
        </w:rPr>
        <w:t>о</w:t>
      </w:r>
      <w:r>
        <w:rPr>
          <w:sz w:val="22"/>
        </w:rPr>
        <w:t xml:space="preserve"> в </w:t>
      </w:r>
      <w:r>
        <w:rPr>
          <w:sz w:val="22"/>
          <w:lang w:val="bg-BG"/>
        </w:rPr>
        <w:t>Упътванията на производителя за</w:t>
      </w:r>
      <w:r>
        <w:rPr>
          <w:sz w:val="22"/>
        </w:rPr>
        <w:t xml:space="preserve"> средства</w:t>
      </w:r>
      <w:r>
        <w:rPr>
          <w:sz w:val="22"/>
          <w:lang w:val="bg-BG"/>
        </w:rPr>
        <w:t>та</w:t>
      </w:r>
      <w:r>
        <w:rPr>
          <w:sz w:val="22"/>
        </w:rPr>
        <w:t xml:space="preserve"> за измерване.</w:t>
      </w:r>
    </w:p>
    <w:p>
      <w:pPr>
        <w:pStyle w:val="Normal"/>
        <w:jc w:val="both"/>
        <w:rPr>
          <w:b/>
          <w:color w:val="FF0000"/>
          <w:sz w:val="22"/>
          <w:u w:val="single"/>
          <w:lang w:val="bg-BG"/>
        </w:rPr>
      </w:pPr>
      <w:r>
        <w:rPr>
          <w:b/>
          <w:color w:val="FF0000"/>
          <w:sz w:val="22"/>
          <w:u w:val="single"/>
          <w:lang w:val="bg-BG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7. 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59"/>
        <w:gridCol w:w="1134"/>
        <w:gridCol w:w="1276"/>
        <w:gridCol w:w="1536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MR-Q-F-PR23-001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Формуляр Главен списък за наблюдение и измерване на ресурси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Електронно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Периодично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ОИСУ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MR-Q-F-PR23-002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Формуляр Годишен график за калибрация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Периодично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ОИСУ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MR-Q-F-PR23-003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Формуляр Етикет Калибрация Изпълнение  Проверка на състоянието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ind w:end="-108"/>
              <w:rPr>
                <w:sz w:val="22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ОИСУ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MR-Q-F-PR23-004 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Формуляр Доклад от калибриране по отдели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ind w:end="-108"/>
              <w:rPr>
                <w:sz w:val="22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ОИСУ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MR-Q-F-PR23-005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Register of Out of Calibration Events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ind w:end="-108"/>
              <w:rPr>
                <w:sz w:val="22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sz w:val="22"/>
              </w:rPr>
            </w:pPr>
            <w:r>
              <w:rPr>
                <w:sz w:val="22"/>
                <w:lang w:val="bg-BG"/>
              </w:rPr>
              <w:t>ОИСУ</w:t>
            </w:r>
          </w:p>
        </w:tc>
      </w:tr>
    </w:tbl>
    <w:p>
      <w:pPr>
        <w:pStyle w:val="Footer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9781" w:leader="none"/>
        </w:tabs>
        <w:ind w:hanging="360" w:start="360" w:end="42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2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836" w:footer="755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ГЛАВЕН СПИСЪК ЗА НАБЛЮДЕНИЕ И ИЗМЕРВАНЕ НА РЕСУРСИ</w:t>
      </w:r>
    </w:p>
    <w:p>
      <w:pPr>
        <w:pStyle w:val="Header"/>
        <w:rPr>
          <w:b/>
          <w:sz w:val="20"/>
          <w:lang w:val="bg-BG"/>
        </w:rPr>
      </w:pPr>
      <w:r>
        <w:rPr>
          <w:b/>
          <w:sz w:val="20"/>
          <w:lang w:val="bg-BG"/>
        </w:rPr>
      </w:r>
    </w:p>
    <w:p>
      <w:pPr>
        <w:pStyle w:val="Header"/>
        <w:rPr>
          <w:b/>
          <w:sz w:val="20"/>
        </w:rPr>
      </w:pPr>
      <w:r>
        <w:rPr>
          <w:b/>
          <w:sz w:val="20"/>
        </w:rPr>
        <w:t>QMR-Q-F-PR23-001</w:t>
      </w:r>
    </w:p>
    <w:p>
      <w:pPr>
        <w:pStyle w:val="Header"/>
        <w:rPr>
          <w:b/>
          <w:sz w:val="20"/>
        </w:rPr>
      </w:pPr>
      <w:r>
        <w:rPr>
          <w:b/>
          <w:sz w:val="20"/>
        </w:rPr>
      </w:r>
    </w:p>
    <w:tbl>
      <w:tblPr>
        <w:tblW w:w="14742" w:type="dxa"/>
        <w:jc w:val="start"/>
        <w:tblInd w:w="-179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843"/>
        <w:gridCol w:w="1843"/>
        <w:gridCol w:w="1275"/>
        <w:gridCol w:w="1135"/>
        <w:gridCol w:w="991"/>
        <w:gridCol w:w="1560"/>
        <w:gridCol w:w="1134"/>
        <w:gridCol w:w="1985"/>
        <w:gridCol w:w="1842"/>
      </w:tblGrid>
      <w:tr>
        <w:trPr/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Номер на и ресурс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инструмент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Марка</w:t>
            </w:r>
          </w:p>
        </w:tc>
        <w:tc>
          <w:tcPr>
            <w:tcW w:w="127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Обхват</w:t>
            </w:r>
          </w:p>
        </w:tc>
        <w:tc>
          <w:tcPr>
            <w:tcW w:w="113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Least Count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Местоположение на използване</w:t>
            </w:r>
          </w:p>
        </w:tc>
        <w:tc>
          <w:tcPr>
            <w:tcW w:w="15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Калибрация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Интервал на калибрация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Метод на калибрация</w:t>
            </w:r>
          </w:p>
        </w:tc>
        <w:tc>
          <w:tcPr>
            <w:tcW w:w="1842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Предприети действия в случай на незадоволителни резултати</w:t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32"/>
                <w:lang w:val="bg-BG"/>
              </w:rPr>
            </w:pPr>
            <w:r>
              <w:rPr>
                <w:b/>
                <w:sz w:val="32"/>
                <w:lang w:val="bg-BG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Header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ГОДИШЕН ГРАФИК ЗА КАЛИБРАЦИЯ</w:t>
      </w:r>
    </w:p>
    <w:p>
      <w:pPr>
        <w:pStyle w:val="Header"/>
        <w:rPr>
          <w:b/>
          <w:sz w:val="20"/>
          <w:lang w:val="bg-BG"/>
        </w:rPr>
      </w:pPr>
      <w:r>
        <w:rPr>
          <w:b/>
          <w:sz w:val="20"/>
          <w:lang w:val="bg-BG"/>
        </w:rPr>
      </w:r>
    </w:p>
    <w:p>
      <w:pPr>
        <w:pStyle w:val="Header"/>
        <w:rPr>
          <w:sz w:val="20"/>
        </w:rPr>
      </w:pPr>
      <w:r>
        <w:rPr>
          <w:b/>
          <w:sz w:val="20"/>
        </w:rPr>
        <w:t>QMR-Q-F-PR23-002</w:t>
      </w:r>
    </w:p>
    <w:p>
      <w:pPr>
        <w:pStyle w:val="Header"/>
        <w:rPr>
          <w:sz w:val="20"/>
        </w:rPr>
      </w:pPr>
      <w:r>
        <w:rPr>
          <w:sz w:val="20"/>
        </w:rPr>
      </w:r>
    </w:p>
    <w:tbl>
      <w:tblPr>
        <w:tblW w:w="13514" w:type="dxa"/>
        <w:jc w:val="start"/>
        <w:tblInd w:w="-118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843"/>
        <w:gridCol w:w="1276"/>
        <w:gridCol w:w="1417"/>
        <w:gridCol w:w="653"/>
        <w:gridCol w:w="654"/>
        <w:gridCol w:w="654"/>
        <w:gridCol w:w="653"/>
        <w:gridCol w:w="654"/>
        <w:gridCol w:w="654"/>
        <w:gridCol w:w="653"/>
        <w:gridCol w:w="654"/>
        <w:gridCol w:w="654"/>
        <w:gridCol w:w="653"/>
        <w:gridCol w:w="654"/>
        <w:gridCol w:w="654"/>
      </w:tblGrid>
      <w:tr>
        <w:trPr/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ind w:hanging="34" w:start="34" w:end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Номер на инструмент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Име на инструмент</w:t>
            </w:r>
          </w:p>
        </w:tc>
        <w:tc>
          <w:tcPr>
            <w:tcW w:w="127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Калибрация</w:t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Интервал на калибрация</w:t>
            </w:r>
          </w:p>
        </w:tc>
        <w:tc>
          <w:tcPr>
            <w:tcW w:w="65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Януари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Февруари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Март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Април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Май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Юни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Юли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Август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Септември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Октомври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Ноември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6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Декември</w:t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18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6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13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36"/>
              </w:rPr>
            </w:pPr>
            <w:r>
              <w:rPr>
                <w:sz w:val="36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Header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 w:eastAsia="bg-BG"/>
        </w:rPr>
      </w:pPr>
      <w:r>
        <w:rPr>
          <w:b/>
          <w:sz w:val="22"/>
          <w:u w:val="single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-4445</wp:posOffset>
                </wp:positionV>
                <wp:extent cx="2752090" cy="2477770"/>
                <wp:effectExtent l="0" t="0" r="0" b="0"/>
                <wp:wrapNone/>
                <wp:docPr id="2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090" cy="24777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1"/>
                              <w:ind w:hanging="0" w:start="0"/>
                              <w:rPr/>
                            </w:pPr>
                            <w:r>
                              <w:rPr/>
                              <w:t>ABC COMPANY LIMITED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pStyle w:val="Heading1"/>
                              <w:ind w:hanging="0" w:start="0"/>
                              <w:rPr>
                                <w:rFonts w:ascii="Arial Narrow" w:hAnsi="Arial Narrow" w:cs="Arial Narrow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</w:rPr>
                              <w:t>CALIBRATION / PERF. CHECK STATUS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 Narrow" w:hAnsi="Arial Narrow" w:cs="Arial Narrow"/>
                                <w:sz w:val="18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sz w:val="18"/>
                              </w:rPr>
                              <w:t>(QMR-Q-F-PR23-003/V-001/W.e.f.: 01-Oct-2015)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 Narrow" w:hAnsi="Arial Narrow" w:cs="Arial Narrow"/>
                                <w:sz w:val="18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Инструмент номер</w:t>
                            </w:r>
                            <w:r>
                              <w:rPr/>
                              <w:t>………………………….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Име на инструмент</w:t>
                            </w:r>
                            <w:r>
                              <w:rPr/>
                              <w:t>: …………………………..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Дата на калибрация</w:t>
                            </w:r>
                            <w:r>
                              <w:rPr/>
                              <w:t xml:space="preserve">         : .…………………….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Планирана дата за последваща калибрация</w:t>
                            </w:r>
                            <w:r>
                              <w:rPr/>
                              <w:t xml:space="preserve"> ………………………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 xml:space="preserve">                      </w:t>
                            </w:r>
                          </w:p>
                          <w:p>
                            <w:pPr>
                              <w:pStyle w:val="Normal"/>
                              <w:ind w:firstLine="720" w:start="1440" w:end="0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Подпис: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16.7pt;height:195.1pt;mso-wrap-distance-left:9.05pt;mso-wrap-distance-right:9.05pt;mso-wrap-distance-top:0pt;mso-wrap-distance-bottom:0pt;margin-top:-0.35pt;mso-position-vertical-relative:text;margin-left:-0.35pt;mso-position-horizontal-relative:text">
                <v:textbox>
                  <w:txbxContent>
                    <w:p>
                      <w:pPr>
                        <w:pStyle w:val="Heading1"/>
                        <w:ind w:hanging="0" w:start="0"/>
                        <w:rPr/>
                      </w:pPr>
                      <w:r>
                        <w:rPr/>
                        <w:t>ABC COMPANY LIMITED</w:t>
                      </w:r>
                    </w:p>
                    <w:p>
                      <w:pPr>
                        <w:pStyle w:val="Normal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</w:r>
                    </w:p>
                    <w:p>
                      <w:pPr>
                        <w:pStyle w:val="Heading1"/>
                        <w:ind w:hanging="0" w:start="0"/>
                        <w:rPr>
                          <w:rFonts w:ascii="Arial Narrow" w:hAnsi="Arial Narrow" w:cs="Arial Narrow"/>
                        </w:rPr>
                      </w:pPr>
                      <w:r>
                        <w:rPr>
                          <w:rFonts w:cs="Arial Narrow" w:ascii="Arial Narrow" w:hAnsi="Arial Narrow"/>
                        </w:rPr>
                        <w:t>CALIBRATION / PERF. CHECK STATUS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 Narrow" w:hAnsi="Arial Narrow" w:cs="Arial Narrow"/>
                          <w:sz w:val="18"/>
                        </w:rPr>
                      </w:pPr>
                      <w:r>
                        <w:rPr>
                          <w:rFonts w:cs="Arial Narrow" w:ascii="Arial Narrow" w:hAnsi="Arial Narrow"/>
                          <w:sz w:val="18"/>
                        </w:rPr>
                        <w:t>(QMR-Q-F-PR23-003/V-001/W.e.f.: 01-Oct-2015)</w:t>
                      </w:r>
                    </w:p>
                    <w:p>
                      <w:pPr>
                        <w:pStyle w:val="Normal"/>
                        <w:rPr>
                          <w:rFonts w:ascii="Arial Narrow" w:hAnsi="Arial Narrow" w:cs="Arial Narrow"/>
                          <w:sz w:val="18"/>
                        </w:rPr>
                      </w:pPr>
                      <w:r>
                        <w:rPr>
                          <w:rFonts w:cs="Arial Narrow" w:ascii="Arial Narrow" w:hAnsi="Arial Narrow"/>
                          <w:sz w:val="18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Инструмент номер</w:t>
                      </w:r>
                      <w:r>
                        <w:rPr/>
                        <w:t>………………………….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Име на инструмент</w:t>
                      </w:r>
                      <w:r>
                        <w:rPr/>
                        <w:t>: …………………………..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Дата на калибрация</w:t>
                      </w:r>
                      <w:r>
                        <w:rPr/>
                        <w:t xml:space="preserve">         : .…………………….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Планирана дата за последваща калибрация</w:t>
                      </w:r>
                      <w:r>
                        <w:rPr/>
                        <w:t xml:space="preserve"> ………………………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 xml:space="preserve">                      </w:t>
                      </w:r>
                    </w:p>
                    <w:p>
                      <w:pPr>
                        <w:pStyle w:val="Normal"/>
                        <w:ind w:firstLine="720" w:start="1440" w:end="0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Подпис: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orient="landscape" w:w="16838" w:h="11906"/>
          <w:pgMar w:left="2835" w:right="1134" w:gutter="0" w:header="709" w:top="765" w:footer="754" w:bottom="1418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sz w:val="22"/>
          <w:u w:val="single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ДОКЛАД ОТ КЛИБРИРАНЕ ПО ОТДЕЛИ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</w:rPr>
      </w:pPr>
      <w:r>
        <w:rPr>
          <w:b/>
        </w:rPr>
        <w:t>QMR-Q-F-PR23-004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Доклад : ..........   Температура на помещението: .................. Дата на калибриране: ............ 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Инструмент №: ............ Наименование на инструмента: ............................................................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Сериен №: ......................... ............ Най-малък брой: ............... Единица .....................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Референтен метод на калибриране: .................. Главен калибратор №: .................................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Изходен диапазон на главния калибратор: ...........................................................................</w:t>
      </w:r>
    </w:p>
    <w:p>
      <w:pPr>
        <w:pStyle w:val="Normal"/>
        <w:rPr/>
      </w:pPr>
      <w:r>
        <w:rPr/>
      </w:r>
    </w:p>
    <w:tbl>
      <w:tblPr>
        <w:tblW w:w="96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0"/>
        <w:gridCol w:w="1993"/>
        <w:gridCol w:w="1985"/>
        <w:gridCol w:w="1417"/>
        <w:gridCol w:w="1701"/>
        <w:gridCol w:w="1560"/>
      </w:tblGrid>
      <w:tr>
        <w:trPr/>
        <w:tc>
          <w:tcPr>
            <w:tcW w:w="95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199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Калибриран инструмент 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lang w:val="bg-BG"/>
              </w:rPr>
              <w:t>Резултати</w:t>
            </w:r>
            <w:r>
              <w:rPr>
                <w:b/>
              </w:rPr>
              <w:t xml:space="preserve"> на калибратора</w:t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Грешка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lang w:val="bg-BG"/>
              </w:rPr>
              <w:t>Резултати</w:t>
            </w:r>
            <w:r>
              <w:rPr>
                <w:b/>
              </w:rPr>
              <w:t xml:space="preserve"> на калибратора</w:t>
            </w:r>
          </w:p>
        </w:tc>
        <w:tc>
          <w:tcPr>
            <w:tcW w:w="15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Грешка</w:t>
            </w:r>
          </w:p>
        </w:tc>
      </w:tr>
      <w:tr>
        <w:trPr>
          <w:trHeight w:val="70" w:hRule="atLeast"/>
        </w:trPr>
        <w:tc>
          <w:tcPr>
            <w:tcW w:w="950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9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2" w:hRule="atLeast"/>
        </w:trPr>
        <w:tc>
          <w:tcPr>
            <w:tcW w:w="9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60" w:hRule="atLeast"/>
        </w:trPr>
        <w:tc>
          <w:tcPr>
            <w:tcW w:w="9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1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5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99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sz w:val="32"/>
          <w:lang w:val="bg-BG"/>
        </w:rPr>
      </w:pPr>
      <w:r>
        <w:rPr>
          <w:b/>
          <w:sz w:val="32"/>
          <w:lang w:val="bg-BG"/>
        </w:rPr>
        <w:t>Резултат от калибрацията</w:t>
      </w:r>
      <w:r>
        <w:rPr>
          <w:b/>
          <w:sz w:val="32"/>
        </w:rPr>
        <w:t xml:space="preserve">:  </w:t>
      </w:r>
      <w:r>
        <w:rPr>
          <w:b/>
          <w:sz w:val="32"/>
          <w:lang w:val="bg-BG"/>
        </w:rPr>
        <w:t>Добър</w:t>
      </w:r>
      <w:r>
        <w:rPr>
          <w:b/>
          <w:sz w:val="32"/>
        </w:rPr>
        <w:t xml:space="preserve">  /  </w:t>
      </w:r>
      <w:r>
        <w:rPr>
          <w:b/>
          <w:sz w:val="32"/>
          <w:lang w:val="bg-BG"/>
        </w:rPr>
        <w:t>Лош</w:t>
      </w:r>
    </w:p>
    <w:p>
      <w:pPr>
        <w:pStyle w:val="Normal"/>
        <w:rPr>
          <w:b/>
          <w:sz w:val="28"/>
          <w:lang w:val="bg-BG"/>
        </w:rPr>
      </w:pPr>
      <w:r>
        <w:rPr>
          <w:b/>
          <w:sz w:val="28"/>
          <w:lang w:val="bg-BG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  <w:lang w:val="bg-BG"/>
        </w:rPr>
        <w:t>Калибрацията е валидна до</w:t>
      </w:r>
      <w:r>
        <w:rPr>
          <w:b/>
          <w:sz w:val="28"/>
        </w:rPr>
        <w:t xml:space="preserve">:  </w:t>
      </w:r>
      <w:r>
        <w:rPr>
          <w:sz w:val="36"/>
        </w:rPr>
        <w:t xml:space="preserve"> ………..……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tbl>
      <w:tblPr>
        <w:tblW w:w="58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3827"/>
      </w:tblGrid>
      <w:tr>
        <w:trPr/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Калибрирано от:</w:t>
            </w:r>
          </w:p>
        </w:tc>
        <w:tc>
          <w:tcPr>
            <w:tcW w:w="382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36"/>
                <w:lang w:val="bg-BG"/>
              </w:rPr>
            </w:pPr>
            <w:r>
              <w:rPr>
                <w:sz w:val="36"/>
                <w:lang w:val="bg-BG"/>
              </w:rPr>
            </w:r>
          </w:p>
        </w:tc>
      </w:tr>
      <w:tr>
        <w:trPr>
          <w:trHeight w:val="281" w:hRule="atLeast"/>
        </w:trPr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Одобрено от: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36"/>
                <w:lang w:val="bg-BG"/>
              </w:rPr>
            </w:pPr>
            <w:r>
              <w:rPr>
                <w:sz w:val="36"/>
                <w:lang w:val="bg-BG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418" w:right="567" w:gutter="0" w:header="709" w:top="2835" w:footer="754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jc w:val="center"/>
        <w:rPr>
          <w:b/>
        </w:rPr>
      </w:pPr>
      <w:r>
        <w:rPr>
          <w:b/>
        </w:rPr>
        <w:t>РЕГИСТЪР НА СЪБИТИЯТА, СВЪРЗАНИ С КАЛИБРИРАНЕ</w:t>
      </w:r>
    </w:p>
    <w:p>
      <w:pPr>
        <w:pStyle w:val="Normal"/>
        <w:rPr>
          <w:b/>
        </w:rPr>
      </w:pPr>
      <w:r>
        <w:rPr>
          <w:b/>
        </w:rPr>
        <w:t>QMR-Q-F-PR23-005</w:t>
      </w:r>
    </w:p>
    <w:p>
      <w:pPr>
        <w:pStyle w:val="Normal"/>
        <w:rPr/>
      </w:pPr>
      <w:r>
        <w:rPr/>
      </w:r>
    </w:p>
    <w:tbl>
      <w:tblPr>
        <w:tblW w:w="14670" w:type="dxa"/>
        <w:jc w:val="start"/>
        <w:tblInd w:w="-133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410"/>
        <w:gridCol w:w="1985"/>
        <w:gridCol w:w="2268"/>
        <w:gridCol w:w="1701"/>
        <w:gridCol w:w="2126"/>
        <w:gridCol w:w="2479"/>
      </w:tblGrid>
      <w:tr>
        <w:trPr/>
        <w:tc>
          <w:tcPr>
            <w:tcW w:w="170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lang w:val="bg-BG"/>
              </w:rPr>
              <w:t>Номер на инструмент</w:t>
            </w:r>
            <w:r>
              <w:rPr>
                <w:rFonts w:cs="Arial Narrow" w:ascii="Arial Narrow" w:hAnsi="Arial Narrow"/>
                <w:b/>
              </w:rPr>
              <w:t>.</w:t>
            </w:r>
          </w:p>
        </w:tc>
        <w:tc>
          <w:tcPr>
            <w:tcW w:w="241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  <w:t>Име на инструмент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</w:rPr>
              <w:t>Дата</w:t>
            </w:r>
            <w:r>
              <w:rPr>
                <w:rFonts w:cs="Arial Narrow" w:ascii="Arial Narrow" w:hAnsi="Arial Narrow"/>
                <w:b/>
                <w:lang w:val="bg-BG"/>
              </w:rPr>
              <w:t>,</w:t>
            </w:r>
            <w:r>
              <w:rPr>
                <w:rFonts w:cs="Arial Narrow" w:ascii="Arial Narrow" w:hAnsi="Arial Narrow"/>
                <w:b/>
              </w:rPr>
              <w:t xml:space="preserve"> от която е</w:t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  <w:t>Инструмент</w:t>
            </w:r>
            <w:r>
              <w:rPr>
                <w:rFonts w:cs="Arial Narrow" w:ascii="Arial Narrow" w:hAnsi="Arial Narrow"/>
                <w:b/>
                <w:lang w:val="bg-BG"/>
              </w:rPr>
              <w:t>ът е</w:t>
            </w:r>
            <w:r>
              <w:rPr>
                <w:rFonts w:cs="Arial Narrow" w:ascii="Arial Narrow" w:hAnsi="Arial Narrow"/>
                <w:b/>
              </w:rPr>
              <w:t xml:space="preserve"> калибриране</w:t>
            </w:r>
          </w:p>
        </w:tc>
        <w:tc>
          <w:tcPr>
            <w:tcW w:w="226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  <w:t>Инструментът е използван последно на: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  <w:t>Последващата калибрация</w:t>
            </w:r>
          </w:p>
        </w:tc>
        <w:tc>
          <w:tcPr>
            <w:tcW w:w="212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  <w:t>Забележки</w:t>
            </w:r>
          </w:p>
        </w:tc>
        <w:tc>
          <w:tcPr>
            <w:tcW w:w="247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</w:r>
          </w:p>
          <w:p>
            <w:pPr>
              <w:pStyle w:val="Normal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  <w:t>Подпис на извършващия калибрация</w:t>
            </w:r>
          </w:p>
        </w:tc>
      </w:tr>
      <w:tr>
        <w:trPr>
          <w:trHeight w:val="70" w:hRule="atLeast"/>
        </w:trPr>
        <w:tc>
          <w:tcPr>
            <w:tcW w:w="1701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7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2" w:hRule="atLeast"/>
        </w:trPr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60" w:hRule="atLeast"/>
        </w:trPr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70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7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sectPr>
      <w:headerReference w:type="default" r:id="rId12"/>
      <w:headerReference w:type="first" r:id="rId13"/>
      <w:footerReference w:type="default" r:id="rId14"/>
      <w:footerReference w:type="first" r:id="rId15"/>
      <w:type w:val="nextPage"/>
      <w:pgSz w:orient="landscape" w:w="16838" w:h="11906"/>
      <w:pgMar w:left="2835" w:right="1134" w:gutter="0" w:header="709" w:top="765" w:footer="7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Bookman Old Style">
    <w:charset w:val="00" w:characterSet="windows-1252"/>
    <w:family w:val="roman"/>
    <w:pitch w:val="variable"/>
  </w:font>
  <w:font w:name="Comic Sans MS">
    <w:charset w:val="00" w:characterSet="windows-1252"/>
    <w:family w:val="script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23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</w:rPr>
            <w:t>MD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4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23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</w:rPr>
            <w:t>MD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7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23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</w:rPr>
            <w:t>MD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8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23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</w:rPr>
            <w:t>MD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9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5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-77470</wp:posOffset>
              </wp:positionV>
              <wp:extent cx="6318250" cy="1329690"/>
              <wp:effectExtent l="0" t="0" r="0" b="0"/>
              <wp:wrapNone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2969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>
                              <w:trHeight w:val="213" w:hRule="atLeast"/>
                            </w:trPr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 xml:space="preserve">ПРОЦЕДУРА ЗА СРЕДСТВАТА ЗА КОНТРОЛ, НАБЛЮДЕНИЕ И ИЗМЕРВАНЕ 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4.7pt;mso-wrap-distance-left:9.05pt;mso-wrap-distance-right:9.05pt;mso-wrap-distance-top:0pt;mso-wrap-distance-bottom:0pt;margin-top:-6.1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 xml:space="preserve">ПРОЦЕДУРА ЗА СРЕДСТВАТА ЗА КОНТРОЛ, НАБЛЮДЕНИЕ И ИЗМЕРВАНЕ 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9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-77470</wp:posOffset>
              </wp:positionV>
              <wp:extent cx="6318250" cy="1329690"/>
              <wp:effectExtent l="0" t="0" r="0" b="0"/>
              <wp:wrapNone/>
              <wp:docPr id="3" name="Рамка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2969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>
                              <w:trHeight w:val="213" w:hRule="atLeast"/>
                            </w:trPr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 xml:space="preserve">ПРОЦЕДУРА ЗА СРЕДСТВАТА ЗА КОНТРОЛ, НАБЛЮДЕНИЕ И ИЗМЕРВАНЕ 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4.7pt;mso-wrap-distance-left:9.05pt;mso-wrap-distance-right:9.05pt;mso-wrap-distance-top:0pt;mso-wrap-distance-bottom:0pt;margin-top:-6.1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 xml:space="preserve">ПРОЦЕДУРА ЗА СРЕДСТВАТА ЗА КОНТРОЛ, НАБЛЮДЕНИЕ И ИЗМЕРВАНЕ 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0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-77470</wp:posOffset>
              </wp:positionV>
              <wp:extent cx="6318250" cy="1329690"/>
              <wp:effectExtent l="0" t="0" r="0" b="0"/>
              <wp:wrapNone/>
              <wp:docPr id="4" name="Рамка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2969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>
                              <w:trHeight w:val="213" w:hRule="atLeast"/>
                            </w:trPr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 xml:space="preserve">ПРОЦЕДУРА ЗА СРЕДСТВАТА ЗА КОНТРОЛ, НАБЛЮДЕНИЕ И ИЗМЕРВАНЕ 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4.7pt;mso-wrap-distance-left:9.05pt;mso-wrap-distance-right:9.05pt;mso-wrap-distance-top:0pt;mso-wrap-distance-bottom:0pt;margin-top:-6.1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 xml:space="preserve">ПРОЦЕДУРА ЗА СРЕДСТВАТА ЗА КОНТРОЛ, НАБЛЮДЕНИЕ И ИЗМЕРВАНЕ 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1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-77470</wp:posOffset>
              </wp:positionV>
              <wp:extent cx="6318250" cy="1329690"/>
              <wp:effectExtent l="0" t="0" r="0" b="0"/>
              <wp:wrapNone/>
              <wp:docPr id="5" name="Рамка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2969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>
                              <w:trHeight w:val="213" w:hRule="atLeast"/>
                            </w:trPr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 xml:space="preserve">ПРОЦЕДУРА ЗА СРЕДСТВАТА ЗА КОНТРОЛ, НАБЛЮДЕНИЕ И ИЗМЕРВАНЕ 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4.7pt;mso-wrap-distance-left:9.05pt;mso-wrap-distance-right:9.05pt;mso-wrap-distance-top:0pt;mso-wrap-distance-bottom:0pt;margin-top:-6.1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 xml:space="preserve">ПРОЦЕДУРА ЗА СРЕДСТВАТА ЗА КОНТРОЛ, НАБЛЮДЕНИЕ И ИЗМЕРВАНЕ 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3">
    <w:lvl w:ilvl="0">
      <w:start w:val="8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u w:val="none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/>
  </w:style>
  <w:style w:type="character" w:styleId="Style12">
    <w:name w:val="Шрифт на абзаца по подразбиране"/>
    <w:qFormat/>
    <w:rPr/>
  </w:style>
  <w:style w:type="character" w:styleId="Style13">
    <w:name w:val="Горен колонтитул Знак"/>
    <w:qFormat/>
    <w:rPr>
      <w:sz w:val="24"/>
      <w:lang w:val="en-US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>
      <w:rFonts w:ascii="Bookman Old Style" w:hAnsi="Bookman Old Style" w:cs="Bookman Old Style"/>
      <w:sz w:val="22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">
    <w:name w:val="Основен текст 2"/>
    <w:basedOn w:val="Normal"/>
    <w:qFormat/>
    <w:pPr/>
    <w:rPr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2001-03-16T02:41:00Z</dcterms:created>
  <dc:creator>ws</dc:creator>
  <dc:description/>
  <cp:keywords/>
  <dc:language>bg-BG</dc:language>
  <cp:lastModifiedBy>Nikolay Trayanov</cp:lastModifiedBy>
  <cp:lastPrinted>2002-06-04T02:14:00Z</cp:lastPrinted>
  <dcterms:modified xsi:type="dcterms:W3CDTF">2023-07-11T15:01:00Z</dcterms:modified>
  <cp:revision>70</cp:revision>
  <dc:subject/>
  <dc:title/>
</cp:coreProperties>
</file>