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outlineLvl w:val="0"/>
        <w:rPr>
          <w:sz w:val="22"/>
        </w:rPr>
      </w:pPr>
      <w:r>
        <w:rPr>
          <w:b/>
          <w:sz w:val="22"/>
          <w:u w:val="single"/>
        </w:rPr>
        <w:t xml:space="preserve">1. </w:t>
      </w:r>
      <w:r>
        <w:rPr>
          <w:b/>
          <w:sz w:val="22"/>
          <w:u w:val="single"/>
          <w:lang w:val="bg-BG"/>
        </w:rPr>
        <w:t>ЦЕЛ</w:t>
      </w:r>
      <w:r>
        <w:rPr>
          <w:b/>
          <w:sz w:val="22"/>
          <w:u w:val="single"/>
        </w:rPr>
        <w:t>: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>Д</w:t>
      </w:r>
      <w:r>
        <w:rPr>
          <w:sz w:val="22"/>
        </w:rPr>
        <w:t xml:space="preserve">а се гарантира, че дейностите по качество </w:t>
      </w:r>
      <w:r>
        <w:rPr>
          <w:sz w:val="22"/>
          <w:lang w:val="bg-BG"/>
        </w:rPr>
        <w:t xml:space="preserve">и околната среда </w:t>
      </w:r>
      <w:r>
        <w:rPr>
          <w:sz w:val="22"/>
        </w:rPr>
        <w:t xml:space="preserve">и свързаните с тях резултати съответстват на планираните мерки и да се определи ефективността на прилагането на </w:t>
      </w:r>
      <w:r>
        <w:rPr>
          <w:sz w:val="22"/>
          <w:lang w:val="bg-BG"/>
        </w:rPr>
        <w:t xml:space="preserve">интегрираната </w:t>
      </w:r>
      <w:r>
        <w:rPr>
          <w:sz w:val="22"/>
        </w:rPr>
        <w:t xml:space="preserve">системата за </w:t>
      </w:r>
      <w:r>
        <w:rPr>
          <w:sz w:val="22"/>
          <w:lang w:val="bg-BG"/>
        </w:rPr>
        <w:t xml:space="preserve">управление на </w:t>
      </w:r>
      <w:r>
        <w:rPr>
          <w:sz w:val="22"/>
        </w:rPr>
        <w:t>качество</w:t>
      </w:r>
      <w:r>
        <w:rPr>
          <w:sz w:val="22"/>
          <w:lang w:val="bg-BG"/>
        </w:rPr>
        <w:t>то и околната среда</w:t>
      </w:r>
      <w:r>
        <w:rPr>
          <w:sz w:val="22"/>
        </w:rPr>
        <w:t>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numPr>
          <w:ilvl w:val="0"/>
          <w:numId w:val="0"/>
        </w:numPr>
        <w:outlineLvl w:val="0"/>
        <w:rPr>
          <w:sz w:val="22"/>
        </w:rPr>
      </w:pPr>
      <w:r>
        <w:rPr>
          <w:b/>
          <w:sz w:val="22"/>
          <w:u w:val="single"/>
        </w:rPr>
        <w:t xml:space="preserve">2. </w:t>
      </w:r>
      <w:r>
        <w:rPr>
          <w:b/>
          <w:sz w:val="22"/>
          <w:u w:val="single"/>
          <w:lang w:val="bg-BG"/>
        </w:rPr>
        <w:t>ОБХВАТ</w:t>
      </w:r>
      <w:r>
        <w:rPr>
          <w:b/>
          <w:sz w:val="22"/>
          <w:u w:val="single"/>
        </w:rPr>
        <w:t>: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numPr>
          <w:ilvl w:val="0"/>
          <w:numId w:val="0"/>
        </w:numPr>
        <w:ind w:firstLine="720" w:end="0"/>
        <w:outlineLvl w:val="0"/>
        <w:rPr>
          <w:sz w:val="22"/>
          <w:lang w:val="bg-BG"/>
        </w:rPr>
      </w:pPr>
      <w:r>
        <w:rPr>
          <w:sz w:val="22"/>
        </w:rPr>
        <w:t>Всички дейности, свързани с качеството</w:t>
      </w:r>
      <w:r>
        <w:rPr>
          <w:sz w:val="22"/>
          <w:lang w:val="bg-BG"/>
        </w:rPr>
        <w:t>/околната среда</w:t>
      </w:r>
      <w:r>
        <w:rPr>
          <w:sz w:val="22"/>
        </w:rPr>
        <w:t xml:space="preserve"> </w:t>
      </w:r>
      <w:r>
        <w:rPr>
          <w:sz w:val="22"/>
          <w:lang w:val="bg-BG"/>
        </w:rPr>
        <w:t>във</w:t>
      </w:r>
      <w:r>
        <w:rPr>
          <w:sz w:val="22"/>
        </w:rPr>
        <w:t xml:space="preserve"> всички отдели на </w:t>
      </w:r>
      <w:r>
        <w:rPr>
          <w:sz w:val="22"/>
          <w:lang w:val="bg-BG"/>
        </w:rPr>
        <w:t>О</w:t>
      </w:r>
      <w:r>
        <w:rPr>
          <w:sz w:val="22"/>
        </w:rPr>
        <w:t>рганизацията.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numPr>
          <w:ilvl w:val="0"/>
          <w:numId w:val="0"/>
        </w:numPr>
        <w:outlineLvl w:val="0"/>
        <w:rPr>
          <w:sz w:val="22"/>
        </w:rPr>
      </w:pPr>
      <w:r>
        <w:rPr>
          <w:b/>
          <w:sz w:val="22"/>
          <w:u w:val="single"/>
        </w:rPr>
        <w:t xml:space="preserve">3. </w:t>
      </w:r>
      <w:r>
        <w:rPr>
          <w:b/>
          <w:sz w:val="22"/>
          <w:u w:val="single"/>
          <w:lang w:val="bg-BG"/>
        </w:rPr>
        <w:t>ОПРЕДЕЛЕНИЯ</w:t>
      </w:r>
      <w:r>
        <w:rPr>
          <w:b/>
          <w:sz w:val="22"/>
          <w:u w:val="single"/>
        </w:rPr>
        <w:t>: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numPr>
          <w:ilvl w:val="0"/>
          <w:numId w:val="0"/>
        </w:numPr>
        <w:ind w:firstLine="720" w:end="0"/>
        <w:outlineLvl w:val="0"/>
        <w:rPr>
          <w:color w:val="FF0000"/>
          <w:sz w:val="22"/>
        </w:rPr>
      </w:pPr>
      <w:r>
        <w:rPr>
          <w:color w:val="FF0000"/>
          <w:sz w:val="22"/>
        </w:rPr>
        <w:t>NIL</w:t>
      </w:r>
    </w:p>
    <w:p>
      <w:pPr>
        <w:pStyle w:val="Normal"/>
        <w:rPr>
          <w:color w:val="FF0000"/>
          <w:sz w:val="22"/>
        </w:rPr>
      </w:pPr>
      <w:r>
        <w:rPr>
          <w:color w:val="FF0000"/>
          <w:sz w:val="22"/>
        </w:rPr>
      </w:r>
    </w:p>
    <w:p>
      <w:pPr>
        <w:pStyle w:val="Normal"/>
        <w:numPr>
          <w:ilvl w:val="0"/>
          <w:numId w:val="0"/>
        </w:numPr>
        <w:outlineLvl w:val="0"/>
        <w:rPr>
          <w:sz w:val="22"/>
        </w:rPr>
      </w:pPr>
      <w:r>
        <w:rPr>
          <w:b/>
          <w:sz w:val="22"/>
          <w:u w:val="single"/>
        </w:rPr>
        <w:t xml:space="preserve">4. </w:t>
      </w:r>
      <w:r>
        <w:rPr>
          <w:b/>
          <w:sz w:val="22"/>
          <w:u w:val="single"/>
          <w:lang w:val="bg-BG"/>
        </w:rPr>
        <w:t>ПРЕПРАТКИ</w:t>
      </w:r>
      <w:r>
        <w:rPr>
          <w:b/>
          <w:sz w:val="22"/>
          <w:u w:val="single"/>
        </w:rPr>
        <w:t>: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numPr>
          <w:ilvl w:val="0"/>
          <w:numId w:val="0"/>
        </w:numPr>
        <w:ind w:firstLine="720" w:end="0"/>
        <w:outlineLvl w:val="0"/>
        <w:rPr>
          <w:sz w:val="22"/>
          <w:lang w:val="bg-BG"/>
        </w:rPr>
      </w:pPr>
      <w:r>
        <w:rPr>
          <w:sz w:val="22"/>
          <w:lang w:val="bg-BG"/>
        </w:rPr>
        <w:t xml:space="preserve">Стандарт </w:t>
      </w:r>
      <w:r>
        <w:rPr>
          <w:sz w:val="22"/>
        </w:rPr>
        <w:t xml:space="preserve">ISO9001:2015 - </w:t>
      </w:r>
      <w:r>
        <w:rPr>
          <w:sz w:val="22"/>
          <w:lang w:val="bg-BG"/>
        </w:rPr>
        <w:t>Клауза</w:t>
      </w:r>
      <w:r>
        <w:rPr>
          <w:sz w:val="22"/>
        </w:rPr>
        <w:t xml:space="preserve"> 9.2 : </w:t>
      </w:r>
      <w:r>
        <w:rPr>
          <w:sz w:val="22"/>
          <w:lang w:val="bg-BG"/>
        </w:rPr>
        <w:t>Вътрешен одит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  <w:tab/>
        <w:t xml:space="preserve">                 </w:t>
      </w:r>
      <w:r>
        <w:rPr>
          <w:sz w:val="22"/>
        </w:rPr>
        <w:t>ISO14001:2015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numPr>
          <w:ilvl w:val="0"/>
          <w:numId w:val="0"/>
        </w:numPr>
        <w:outlineLvl w:val="0"/>
        <w:rPr/>
      </w:pPr>
      <w:r>
        <w:rPr>
          <w:b/>
          <w:sz w:val="22"/>
          <w:u w:val="single"/>
        </w:rPr>
        <w:t xml:space="preserve">5. </w:t>
      </w:r>
      <w:r>
        <w:rPr>
          <w:b/>
          <w:sz w:val="22"/>
          <w:u w:val="single"/>
          <w:lang w:val="bg-BG"/>
        </w:rPr>
        <w:t>ПРАВОМОЩИЯ И ОТГОВОРНОСТИ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numPr>
          <w:ilvl w:val="0"/>
          <w:numId w:val="0"/>
        </w:numPr>
        <w:outlineLvl w:val="0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Упълномощен представител на ръководството</w:t>
      </w:r>
    </w:p>
    <w:p>
      <w:pPr>
        <w:pStyle w:val="Normal"/>
        <w:jc w:val="both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numPr>
          <w:ilvl w:val="0"/>
          <w:numId w:val="0"/>
        </w:numPr>
        <w:ind w:firstLine="720" w:end="0"/>
        <w:jc w:val="both"/>
        <w:outlineLvl w:val="0"/>
        <w:rPr/>
      </w:pPr>
      <w:r>
        <w:rPr>
          <w:sz w:val="22"/>
          <w:lang w:val="bg-BG"/>
        </w:rPr>
        <w:t>УПР</w:t>
      </w:r>
      <w:r>
        <w:rPr>
          <w:sz w:val="22"/>
        </w:rPr>
        <w:t xml:space="preserve"> е отговорен за ефективното прилагане на тази процедура.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Той / тя е отговорна за </w:t>
      </w:r>
      <w:r>
        <w:rPr>
          <w:sz w:val="22"/>
          <w:lang w:val="bg-BG"/>
        </w:rPr>
        <w:t>осигуряването на ресурси за изпълнеието на тази дейност, отговаря за осигуряването на</w:t>
      </w:r>
      <w:r>
        <w:rPr>
          <w:sz w:val="22"/>
        </w:rPr>
        <w:t xml:space="preserve"> външни одитори (ако е необходимо), </w:t>
      </w:r>
      <w:r>
        <w:rPr>
          <w:sz w:val="22"/>
          <w:lang w:val="bg-BG"/>
        </w:rPr>
        <w:t xml:space="preserve">създаване на план-график за </w:t>
      </w:r>
      <w:r>
        <w:rPr>
          <w:sz w:val="22"/>
        </w:rPr>
        <w:t xml:space="preserve">провеждане на </w:t>
      </w:r>
      <w:r>
        <w:rPr>
          <w:sz w:val="22"/>
          <w:lang w:val="bg-BG"/>
        </w:rPr>
        <w:t xml:space="preserve">вътрешни </w:t>
      </w:r>
      <w:r>
        <w:rPr>
          <w:sz w:val="22"/>
        </w:rPr>
        <w:t xml:space="preserve">одити и </w:t>
      </w:r>
      <w:r>
        <w:rPr>
          <w:sz w:val="22"/>
          <w:lang w:val="bg-BG"/>
        </w:rPr>
        <w:t>съобщаване на</w:t>
      </w:r>
      <w:r>
        <w:rPr>
          <w:sz w:val="22"/>
        </w:rPr>
        <w:t xml:space="preserve"> резултатите от одита на </w:t>
      </w:r>
      <w:r>
        <w:rPr>
          <w:sz w:val="22"/>
          <w:lang w:val="bg-BG"/>
        </w:rPr>
        <w:t>висшето ръководство</w:t>
      </w:r>
      <w:r>
        <w:rPr>
          <w:sz w:val="22"/>
        </w:rPr>
        <w:t>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>УПР</w:t>
      </w:r>
      <w:r>
        <w:rPr>
          <w:sz w:val="22"/>
        </w:rPr>
        <w:t xml:space="preserve"> е упълномощен да осигури средствата, необходими за прилагането на тази процедура.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numPr>
          <w:ilvl w:val="0"/>
          <w:numId w:val="0"/>
        </w:numPr>
        <w:outlineLvl w:val="0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Ръководители на отдели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>Ръководителите на отдели</w:t>
      </w:r>
      <w:r>
        <w:rPr>
          <w:sz w:val="22"/>
        </w:rPr>
        <w:t xml:space="preserve"> са отговорни за осигуряване на средства за извършване на редовни </w:t>
      </w:r>
      <w:r>
        <w:rPr>
          <w:sz w:val="22"/>
          <w:lang w:val="bg-BG"/>
        </w:rPr>
        <w:t>одити по ИСУ</w:t>
      </w:r>
      <w:r>
        <w:rPr>
          <w:sz w:val="22"/>
        </w:rPr>
        <w:t xml:space="preserve"> в техни</w:t>
      </w:r>
      <w:r>
        <w:rPr>
          <w:sz w:val="22"/>
          <w:lang w:val="bg-BG"/>
        </w:rPr>
        <w:t>те отдели</w:t>
      </w:r>
      <w:r>
        <w:rPr>
          <w:sz w:val="22"/>
        </w:rPr>
        <w:t>, възлагане на отговорн</w:t>
      </w:r>
      <w:r>
        <w:rPr>
          <w:sz w:val="22"/>
          <w:lang w:val="bg-BG"/>
        </w:rPr>
        <w:t xml:space="preserve">ости на лицата </w:t>
      </w:r>
      <w:r>
        <w:rPr>
          <w:sz w:val="22"/>
        </w:rPr>
        <w:t>в отдела за представяне на отдела по време на одита, както и да гарантира, че коригиращите действия, договорени по време на одита са предприети в определени срокове.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>Ръководителите на отдели</w:t>
      </w:r>
      <w:r>
        <w:rPr>
          <w:sz w:val="22"/>
        </w:rPr>
        <w:t xml:space="preserve"> са упълномощени да освобод</w:t>
      </w:r>
      <w:r>
        <w:rPr>
          <w:sz w:val="22"/>
          <w:lang w:val="bg-BG"/>
        </w:rPr>
        <w:t>ят</w:t>
      </w:r>
      <w:r>
        <w:rPr>
          <w:sz w:val="22"/>
        </w:rPr>
        <w:t xml:space="preserve"> одитираните от нормалната </w:t>
      </w:r>
      <w:r>
        <w:rPr>
          <w:sz w:val="22"/>
          <w:lang w:val="bg-BG"/>
        </w:rPr>
        <w:t>им</w:t>
      </w:r>
      <w:r>
        <w:rPr>
          <w:sz w:val="22"/>
        </w:rPr>
        <w:t xml:space="preserve"> работа, за да участват в проверките </w:t>
      </w:r>
      <w:r>
        <w:rPr>
          <w:sz w:val="22"/>
          <w:lang w:val="bg-BG"/>
        </w:rPr>
        <w:t>по ИСУ</w:t>
      </w:r>
      <w:r>
        <w:rPr>
          <w:sz w:val="22"/>
        </w:rPr>
        <w:t xml:space="preserve">. Те също така са упълномощени да предприемат коригиращи мерки, за да </w:t>
      </w:r>
      <w:r>
        <w:rPr>
          <w:sz w:val="22"/>
          <w:lang w:val="bg-BG"/>
        </w:rPr>
        <w:t>коригират</w:t>
      </w:r>
      <w:r>
        <w:rPr>
          <w:sz w:val="22"/>
        </w:rPr>
        <w:t xml:space="preserve"> несъответствия, открити </w:t>
      </w:r>
      <w:r>
        <w:rPr>
          <w:sz w:val="22"/>
          <w:lang w:val="bg-BG"/>
        </w:rPr>
        <w:t xml:space="preserve">по време на </w:t>
      </w:r>
      <w:r>
        <w:rPr>
          <w:sz w:val="22"/>
        </w:rPr>
        <w:t>одити.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numPr>
          <w:ilvl w:val="0"/>
          <w:numId w:val="0"/>
        </w:numPr>
        <w:outlineLvl w:val="0"/>
        <w:rPr>
          <w:sz w:val="22"/>
        </w:rPr>
      </w:pPr>
      <w:r>
        <w:rPr>
          <w:b/>
          <w:sz w:val="22"/>
          <w:u w:val="single"/>
        </w:rPr>
        <w:t xml:space="preserve">6. </w:t>
      </w:r>
      <w:r>
        <w:rPr>
          <w:b/>
          <w:sz w:val="22"/>
          <w:u w:val="single"/>
          <w:lang w:val="bg-BG"/>
        </w:rPr>
        <w:t>НАЧИН НА ИЗПЪЛНЕНИЕ</w:t>
      </w:r>
      <w:r>
        <w:rPr>
          <w:b/>
          <w:sz w:val="22"/>
          <w:u w:val="single"/>
        </w:rPr>
        <w:t>: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Cs w:val="24"/>
        </w:rPr>
        <w:t>„</w:t>
      </w:r>
      <w:r>
        <w:rPr>
          <w:szCs w:val="24"/>
        </w:rPr>
        <w:t>Братя Панчеви“ ООД</w:t>
      </w:r>
      <w:r>
        <w:rPr>
          <w:szCs w:val="24"/>
          <w:lang w:val="bg-BG"/>
        </w:rPr>
        <w:t xml:space="preserve"> </w:t>
      </w:r>
      <w:r>
        <w:rPr>
          <w:sz w:val="22"/>
        </w:rPr>
        <w:t xml:space="preserve">провежда вътрешни одити през планирани интервали, за да се предостави информация за това дали </w:t>
      </w:r>
      <w:r>
        <w:rPr>
          <w:sz w:val="22"/>
          <w:lang w:val="bg-BG"/>
        </w:rPr>
        <w:t xml:space="preserve">интегрираната </w:t>
      </w:r>
      <w:r>
        <w:rPr>
          <w:sz w:val="22"/>
        </w:rPr>
        <w:t>система за управление на качеството</w:t>
      </w:r>
      <w:r>
        <w:rPr>
          <w:sz w:val="22"/>
          <w:lang w:val="bg-BG"/>
        </w:rPr>
        <w:t xml:space="preserve"> и околната среда:</w:t>
      </w:r>
    </w:p>
    <w:p>
      <w:pPr>
        <w:pStyle w:val="Normal"/>
        <w:ind w:start="720" w:end="0"/>
        <w:jc w:val="both"/>
        <w:rPr>
          <w:sz w:val="22"/>
          <w:lang w:val="bg-BG"/>
        </w:rPr>
      </w:pPr>
      <w:r>
        <w:rPr>
          <w:sz w:val="22"/>
        </w:rPr>
        <w:t xml:space="preserve">- Отговаря на собствените нужди на </w:t>
      </w:r>
      <w:r>
        <w:rPr>
          <w:sz w:val="22"/>
          <w:lang w:val="bg-BG"/>
        </w:rPr>
        <w:t>О</w:t>
      </w:r>
      <w:r>
        <w:rPr>
          <w:sz w:val="22"/>
        </w:rPr>
        <w:t xml:space="preserve">рганизацията за своята система за управление на качеството и изискванията на </w:t>
      </w:r>
      <w:r>
        <w:rPr>
          <w:sz w:val="22"/>
          <w:lang w:val="bg-BG"/>
        </w:rPr>
        <w:t xml:space="preserve">Стандарт </w:t>
      </w:r>
      <w:r>
        <w:rPr>
          <w:sz w:val="22"/>
        </w:rPr>
        <w:t>ISO9001: 2015</w:t>
      </w:r>
      <w:r>
        <w:rPr>
          <w:sz w:val="22"/>
          <w:lang w:val="bg-BG"/>
        </w:rPr>
        <w:t xml:space="preserve"> и </w:t>
      </w:r>
      <w:r>
        <w:rPr>
          <w:sz w:val="22"/>
        </w:rPr>
        <w:t>ISO14001:2015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>- Се прилага и поддържа ефективно.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Организацията </w:t>
      </w:r>
      <w:r>
        <w:rPr>
          <w:sz w:val="22"/>
          <w:lang w:val="bg-BG"/>
        </w:rPr>
        <w:t>отговаря за: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>а</w:t>
      </w:r>
      <w:r>
        <w:rPr>
          <w:sz w:val="22"/>
        </w:rPr>
        <w:t xml:space="preserve">) </w:t>
      </w:r>
      <w:r>
        <w:rPr>
          <w:sz w:val="22"/>
          <w:lang w:val="bg-BG"/>
        </w:rPr>
        <w:t xml:space="preserve">създаване на </w:t>
      </w:r>
      <w:r>
        <w:rPr>
          <w:sz w:val="22"/>
        </w:rPr>
        <w:t xml:space="preserve">план, </w:t>
      </w:r>
      <w:r>
        <w:rPr>
          <w:sz w:val="22"/>
          <w:lang w:val="bg-BG"/>
        </w:rPr>
        <w:t>за</w:t>
      </w:r>
      <w:r>
        <w:rPr>
          <w:sz w:val="22"/>
        </w:rPr>
        <w:t xml:space="preserve"> внедр</w:t>
      </w:r>
      <w:r>
        <w:rPr>
          <w:sz w:val="22"/>
          <w:lang w:val="bg-BG"/>
        </w:rPr>
        <w:t>яване</w:t>
      </w:r>
      <w:r>
        <w:rPr>
          <w:sz w:val="22"/>
        </w:rPr>
        <w:t xml:space="preserve"> и поддържа</w:t>
      </w:r>
      <w:r>
        <w:rPr>
          <w:sz w:val="22"/>
          <w:lang w:val="bg-BG"/>
        </w:rPr>
        <w:t>не на</w:t>
      </w:r>
      <w:r>
        <w:rPr>
          <w:sz w:val="22"/>
        </w:rPr>
        <w:t xml:space="preserve"> програма за одит (и), включително, методите, отговорностите, изискванията за честотните </w:t>
      </w:r>
      <w:r>
        <w:rPr>
          <w:sz w:val="22"/>
          <w:lang w:val="bg-BG"/>
        </w:rPr>
        <w:t xml:space="preserve">на </w:t>
      </w:r>
      <w:r>
        <w:rPr>
          <w:sz w:val="22"/>
        </w:rPr>
        <w:t>планиране и отчитане, к</w:t>
      </w:r>
      <w:r>
        <w:rPr>
          <w:sz w:val="22"/>
          <w:lang w:val="bg-BG"/>
        </w:rPr>
        <w:t>ато се</w:t>
      </w:r>
      <w:r>
        <w:rPr>
          <w:sz w:val="22"/>
        </w:rPr>
        <w:t xml:space="preserve"> взема под внимание важността на </w:t>
      </w:r>
      <w:r>
        <w:rPr>
          <w:sz w:val="22"/>
          <w:lang w:val="bg-BG"/>
        </w:rPr>
        <w:t xml:space="preserve">засегнатите </w:t>
      </w:r>
      <w:r>
        <w:rPr>
          <w:sz w:val="22"/>
        </w:rPr>
        <w:t xml:space="preserve">процесите, промени, засягащи </w:t>
      </w:r>
      <w:r>
        <w:rPr>
          <w:sz w:val="22"/>
          <w:lang w:val="bg-BG"/>
        </w:rPr>
        <w:t>О</w:t>
      </w:r>
      <w:r>
        <w:rPr>
          <w:sz w:val="22"/>
        </w:rPr>
        <w:t>рганизацията, както и резултатите от предишни одити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b) определяне на критериите за одит и обхватът на всеки одит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c) изб</w:t>
      </w:r>
      <w:r>
        <w:rPr>
          <w:sz w:val="22"/>
          <w:lang w:val="bg-BG"/>
        </w:rPr>
        <w:t>ор на</w:t>
      </w:r>
      <w:r>
        <w:rPr>
          <w:sz w:val="22"/>
        </w:rPr>
        <w:t xml:space="preserve"> одитори и провеждането на одити, за да се гарантира обективност и безпристрастност </w:t>
      </w:r>
      <w:r>
        <w:rPr>
          <w:sz w:val="22"/>
          <w:lang w:val="bg-BG"/>
        </w:rPr>
        <w:t xml:space="preserve">в </w:t>
      </w:r>
      <w:r>
        <w:rPr>
          <w:sz w:val="22"/>
        </w:rPr>
        <w:t>процеса на одит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d) гаран</w:t>
      </w:r>
      <w:r>
        <w:rPr>
          <w:sz w:val="22"/>
          <w:lang w:val="bg-BG"/>
        </w:rPr>
        <w:t>ция</w:t>
      </w:r>
      <w:r>
        <w:rPr>
          <w:sz w:val="22"/>
        </w:rPr>
        <w:t>, че резултатите от одитите са докладвани на съответния управителен</w:t>
      </w:r>
      <w:r>
        <w:rPr>
          <w:sz w:val="22"/>
          <w:lang w:val="bg-BG"/>
        </w:rPr>
        <w:t xml:space="preserve"> орган;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e) предприема</w:t>
      </w:r>
      <w:r>
        <w:rPr>
          <w:sz w:val="22"/>
          <w:lang w:val="bg-BG"/>
        </w:rPr>
        <w:t>не на</w:t>
      </w:r>
      <w:r>
        <w:rPr>
          <w:sz w:val="22"/>
        </w:rPr>
        <w:t xml:space="preserve"> подходящи корекци</w:t>
      </w:r>
      <w:r>
        <w:rPr>
          <w:sz w:val="22"/>
          <w:lang w:val="bg-BG"/>
        </w:rPr>
        <w:t>и</w:t>
      </w:r>
      <w:r>
        <w:rPr>
          <w:sz w:val="22"/>
        </w:rPr>
        <w:t xml:space="preserve"> и коригиращи действия, без неоправдано забавяне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/>
      </w:pPr>
      <w:r>
        <w:rPr>
          <w:sz w:val="22"/>
        </w:rPr>
        <w:t>f) запаз</w:t>
      </w:r>
      <w:r>
        <w:rPr>
          <w:sz w:val="22"/>
          <w:lang w:val="bg-BG"/>
        </w:rPr>
        <w:t>ване на</w:t>
      </w:r>
      <w:r>
        <w:rPr>
          <w:sz w:val="22"/>
        </w:rPr>
        <w:t xml:space="preserve"> документирана информация като доказателство за изпълнението на програмата за одит и резултатите от одита.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  <w:tab/>
      </w:r>
    </w:p>
    <w:p>
      <w:pPr>
        <w:pStyle w:val="Normal"/>
        <w:numPr>
          <w:ilvl w:val="0"/>
          <w:numId w:val="0"/>
        </w:numPr>
        <w:jc w:val="both"/>
        <w:outlineLvl w:val="0"/>
        <w:rPr/>
      </w:pPr>
      <w:r>
        <w:rPr>
          <w:b/>
          <w:sz w:val="22"/>
          <w:u w:val="single"/>
        </w:rPr>
        <w:t xml:space="preserve">Детайли от </w:t>
      </w:r>
      <w:r>
        <w:rPr>
          <w:b/>
          <w:sz w:val="22"/>
          <w:u w:val="single"/>
          <w:lang w:val="bg-BG"/>
        </w:rPr>
        <w:t>процедурата по одита</w:t>
      </w:r>
      <w:r>
        <w:rPr>
          <w:b/>
          <w:sz w:val="22"/>
          <w:u w:val="single"/>
        </w:rPr>
        <w:t>:</w:t>
      </w:r>
    </w:p>
    <w:p>
      <w:pPr>
        <w:pStyle w:val="Normal"/>
        <w:jc w:val="both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numPr>
          <w:ilvl w:val="0"/>
          <w:numId w:val="0"/>
        </w:numPr>
        <w:jc w:val="both"/>
        <w:outlineLvl w:val="0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 xml:space="preserve">Вътрешен одит на </w:t>
      </w:r>
      <w:r>
        <w:rPr>
          <w:b/>
          <w:sz w:val="22"/>
          <w:u w:val="single"/>
          <w:lang w:val="bg-BG"/>
        </w:rPr>
        <w:t>Екипа по ИСУ</w:t>
      </w:r>
    </w:p>
    <w:p>
      <w:pPr>
        <w:pStyle w:val="Normal"/>
        <w:jc w:val="both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numPr>
          <w:ilvl w:val="0"/>
          <w:numId w:val="0"/>
        </w:numPr>
        <w:ind w:firstLine="720" w:end="0"/>
        <w:jc w:val="both"/>
        <w:outlineLvl w:val="0"/>
        <w:rPr/>
      </w:pPr>
      <w:r>
        <w:rPr>
          <w:sz w:val="22"/>
        </w:rPr>
        <w:t>Вътрешен</w:t>
      </w:r>
      <w:r>
        <w:rPr>
          <w:sz w:val="22"/>
          <w:lang w:val="bg-BG"/>
        </w:rPr>
        <w:t>ият</w:t>
      </w:r>
      <w:r>
        <w:rPr>
          <w:sz w:val="22"/>
        </w:rPr>
        <w:t xml:space="preserve"> одит на качеството</w:t>
      </w:r>
      <w:r>
        <w:rPr>
          <w:sz w:val="22"/>
          <w:lang w:val="bg-BG"/>
        </w:rPr>
        <w:t xml:space="preserve"> и околната среда</w:t>
      </w:r>
      <w:r>
        <w:rPr>
          <w:sz w:val="22"/>
        </w:rPr>
        <w:t xml:space="preserve"> се извършва от персонал, независим от одитираната дейност.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Например, </w:t>
      </w:r>
      <w:r>
        <w:rPr>
          <w:sz w:val="22"/>
          <w:lang w:val="bg-BG"/>
        </w:rPr>
        <w:t>О</w:t>
      </w:r>
      <w:r>
        <w:rPr>
          <w:sz w:val="22"/>
        </w:rPr>
        <w:t xml:space="preserve">тдел </w:t>
      </w:r>
      <w:r>
        <w:rPr>
          <w:sz w:val="22"/>
          <w:lang w:val="bg-BG"/>
        </w:rPr>
        <w:t>М</w:t>
      </w:r>
      <w:r>
        <w:rPr>
          <w:sz w:val="22"/>
        </w:rPr>
        <w:t xml:space="preserve">аркетинг не може да бъде обект на одит от страна на одитор, </w:t>
      </w:r>
      <w:r>
        <w:rPr>
          <w:sz w:val="22"/>
          <w:lang w:val="bg-BG"/>
        </w:rPr>
        <w:t xml:space="preserve">работещ </w:t>
      </w:r>
      <w:r>
        <w:rPr>
          <w:sz w:val="22"/>
        </w:rPr>
        <w:t xml:space="preserve">към отдел Маркетинг. </w:t>
      </w:r>
      <w:r>
        <w:rPr>
          <w:sz w:val="22"/>
          <w:lang w:val="bg-BG"/>
        </w:rPr>
        <w:t>Отделът</w:t>
      </w:r>
      <w:r>
        <w:rPr>
          <w:sz w:val="22"/>
        </w:rPr>
        <w:t xml:space="preserve"> може да бъде обект на одит от страна на одитор, </w:t>
      </w:r>
      <w:r>
        <w:rPr>
          <w:sz w:val="22"/>
          <w:lang w:val="bg-BG"/>
        </w:rPr>
        <w:t>работещ например в Отдел Дизайн и разработка.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>Вътрешните одитори трябва да бъдат обучени от компетентни</w:t>
      </w:r>
      <w:r>
        <w:rPr>
          <w:sz w:val="22"/>
          <w:lang w:val="bg-BG"/>
        </w:rPr>
        <w:t xml:space="preserve"> </w:t>
      </w:r>
      <w:r>
        <w:rPr>
          <w:sz w:val="22"/>
        </w:rPr>
        <w:t>преподаватели (за предпочитане външн</w:t>
      </w:r>
      <w:r>
        <w:rPr>
          <w:sz w:val="22"/>
          <w:lang w:val="bg-BG"/>
        </w:rPr>
        <w:t>и</w:t>
      </w:r>
      <w:r>
        <w:rPr>
          <w:sz w:val="22"/>
        </w:rPr>
        <w:t xml:space="preserve"> преподаватели), преди да бъд</w:t>
      </w:r>
      <w:r>
        <w:rPr>
          <w:sz w:val="22"/>
          <w:lang w:val="bg-BG"/>
        </w:rPr>
        <w:t>ат</w:t>
      </w:r>
      <w:r>
        <w:rPr>
          <w:sz w:val="22"/>
        </w:rPr>
        <w:t xml:space="preserve"> назначен</w:t>
      </w:r>
      <w:r>
        <w:rPr>
          <w:sz w:val="22"/>
          <w:lang w:val="bg-BG"/>
        </w:rPr>
        <w:t>и</w:t>
      </w:r>
      <w:r>
        <w:rPr>
          <w:sz w:val="22"/>
        </w:rPr>
        <w:t xml:space="preserve"> за вътрешен</w:t>
      </w:r>
      <w:r>
        <w:rPr>
          <w:sz w:val="22"/>
          <w:lang w:val="bg-BG"/>
        </w:rPr>
        <w:t>и</w:t>
      </w:r>
      <w:r>
        <w:rPr>
          <w:sz w:val="22"/>
        </w:rPr>
        <w:t xml:space="preserve"> одит</w:t>
      </w:r>
      <w:r>
        <w:rPr>
          <w:sz w:val="22"/>
          <w:lang w:val="bg-BG"/>
        </w:rPr>
        <w:t>ори</w:t>
      </w:r>
      <w:r>
        <w:rPr>
          <w:sz w:val="22"/>
        </w:rPr>
        <w:t>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"</w:t>
      </w:r>
      <w:r>
        <w:rPr>
          <w:sz w:val="22"/>
          <w:lang w:val="bg-BG"/>
        </w:rPr>
        <w:t>Формуляр Списък на одиторите по ИСУ</w:t>
      </w:r>
      <w:r>
        <w:rPr>
          <w:sz w:val="22"/>
        </w:rPr>
        <w:t xml:space="preserve"> (Q</w:t>
      </w:r>
      <w:r>
        <w:rPr>
          <w:sz w:val="22"/>
          <w:lang w:val="bg-BG"/>
        </w:rPr>
        <w:t>Е</w:t>
      </w:r>
      <w:r>
        <w:rPr>
          <w:sz w:val="22"/>
        </w:rPr>
        <w:t xml:space="preserve">MR-Q-F-PR03-001)" се </w:t>
      </w:r>
      <w:r>
        <w:rPr>
          <w:sz w:val="22"/>
          <w:lang w:val="bg-BG"/>
        </w:rPr>
        <w:t>попълва от УПР</w:t>
      </w:r>
      <w:r>
        <w:rPr>
          <w:sz w:val="22"/>
        </w:rPr>
        <w:t xml:space="preserve">. Само тези одитори, изброени могат да извършват вътрешни одити. Когато </w:t>
      </w:r>
      <w:r>
        <w:rPr>
          <w:sz w:val="22"/>
          <w:lang w:val="bg-BG"/>
        </w:rPr>
        <w:t>има необходимост, се повикват външни одитори, които също фигурират в списъка.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numPr>
          <w:ilvl w:val="0"/>
          <w:numId w:val="0"/>
        </w:numPr>
        <w:jc w:val="both"/>
        <w:outlineLvl w:val="0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numPr>
          <w:ilvl w:val="0"/>
          <w:numId w:val="0"/>
        </w:numPr>
        <w:jc w:val="both"/>
        <w:outlineLvl w:val="0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 xml:space="preserve">Планиране на проверките на </w:t>
      </w:r>
      <w:r>
        <w:rPr>
          <w:b/>
          <w:sz w:val="22"/>
          <w:u w:val="single"/>
          <w:lang w:val="bg-BG"/>
        </w:rPr>
        <w:t>ИСУ</w:t>
      </w:r>
    </w:p>
    <w:p>
      <w:pPr>
        <w:pStyle w:val="Normal"/>
        <w:jc w:val="both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Докато </w:t>
      </w:r>
      <w:r>
        <w:rPr>
          <w:sz w:val="22"/>
          <w:lang w:val="bg-BG"/>
        </w:rPr>
        <w:t xml:space="preserve">се </w:t>
      </w:r>
      <w:r>
        <w:rPr>
          <w:sz w:val="22"/>
        </w:rPr>
        <w:t xml:space="preserve">планират вътрешните одити, внимание се обръща на състоянието и важността на процесите и областите, които подлежат на одит, и промените, засягащи </w:t>
      </w:r>
      <w:r>
        <w:rPr>
          <w:sz w:val="22"/>
          <w:lang w:val="bg-BG"/>
        </w:rPr>
        <w:t>О</w:t>
      </w:r>
      <w:r>
        <w:rPr>
          <w:sz w:val="22"/>
        </w:rPr>
        <w:t>рганизацията, както и резултатите от предишни одити.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>Вътрешни</w:t>
      </w:r>
      <w:r>
        <w:rPr>
          <w:sz w:val="22"/>
          <w:lang w:val="bg-BG"/>
        </w:rPr>
        <w:t>те</w:t>
      </w:r>
      <w:r>
        <w:rPr>
          <w:sz w:val="22"/>
        </w:rPr>
        <w:t xml:space="preserve"> одити се провеждат при максимален интервал от шест месеца. </w:t>
      </w:r>
      <w:r>
        <w:rPr>
          <w:sz w:val="22"/>
          <w:lang w:val="bg-BG"/>
        </w:rPr>
        <w:t>Те могат</w:t>
      </w:r>
      <w:r>
        <w:rPr>
          <w:sz w:val="22"/>
        </w:rPr>
        <w:t xml:space="preserve"> да се извърш</w:t>
      </w:r>
      <w:r>
        <w:rPr>
          <w:sz w:val="22"/>
          <w:lang w:val="bg-BG"/>
        </w:rPr>
        <w:t>ат и</w:t>
      </w:r>
      <w:r>
        <w:rPr>
          <w:sz w:val="22"/>
        </w:rPr>
        <w:t xml:space="preserve"> преди </w:t>
      </w:r>
      <w:r>
        <w:rPr>
          <w:sz w:val="22"/>
          <w:lang w:val="bg-BG"/>
        </w:rPr>
        <w:t xml:space="preserve">изтичнате на </w:t>
      </w:r>
      <w:r>
        <w:rPr>
          <w:sz w:val="22"/>
        </w:rPr>
        <w:t xml:space="preserve">шест месеца, ако </w:t>
      </w:r>
      <w:r>
        <w:rPr>
          <w:sz w:val="22"/>
          <w:lang w:val="bg-BG"/>
        </w:rPr>
        <w:t>е необходимо</w:t>
      </w:r>
      <w:r>
        <w:rPr>
          <w:sz w:val="22"/>
        </w:rPr>
        <w:t>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>УПР</w:t>
      </w:r>
      <w:r>
        <w:rPr>
          <w:sz w:val="22"/>
        </w:rPr>
        <w:t xml:space="preserve"> определя критериите за одит и възможностите за всеки одит. Обикновено, критериите за одит </w:t>
      </w:r>
      <w:r>
        <w:rPr>
          <w:sz w:val="22"/>
          <w:lang w:val="bg-BG"/>
        </w:rPr>
        <w:t>са</w:t>
      </w:r>
      <w:r>
        <w:rPr>
          <w:sz w:val="22"/>
        </w:rPr>
        <w:t xml:space="preserve"> комбинация от </w:t>
      </w:r>
      <w:r>
        <w:rPr>
          <w:sz w:val="22"/>
          <w:lang w:val="bg-BG"/>
        </w:rPr>
        <w:t xml:space="preserve">изискванията на Стандарт </w:t>
      </w:r>
      <w:r>
        <w:rPr>
          <w:sz w:val="22"/>
        </w:rPr>
        <w:t>ISO9001: 2015</w:t>
      </w:r>
      <w:r>
        <w:rPr>
          <w:sz w:val="22"/>
          <w:lang w:val="bg-BG"/>
        </w:rPr>
        <w:t xml:space="preserve">, </w:t>
      </w:r>
      <w:r>
        <w:rPr>
          <w:sz w:val="22"/>
        </w:rPr>
        <w:t xml:space="preserve">ISO14001:2015 и собствените нужди </w:t>
      </w:r>
      <w:r>
        <w:rPr>
          <w:sz w:val="22"/>
          <w:lang w:val="bg-BG"/>
        </w:rPr>
        <w:t>на Организацията</w:t>
      </w:r>
      <w:r>
        <w:rPr>
          <w:sz w:val="22"/>
        </w:rPr>
        <w:t>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>УПР</w:t>
      </w:r>
      <w:r>
        <w:rPr>
          <w:sz w:val="22"/>
        </w:rPr>
        <w:t xml:space="preserve"> поддържа "</w:t>
      </w:r>
      <w:r>
        <w:rPr>
          <w:sz w:val="22"/>
          <w:lang w:val="bg-BG"/>
        </w:rPr>
        <w:t>Формуляр Календар годишни одити</w:t>
      </w:r>
      <w:r>
        <w:rPr>
          <w:sz w:val="22"/>
        </w:rPr>
        <w:t xml:space="preserve"> (Q</w:t>
      </w:r>
      <w:r>
        <w:rPr>
          <w:sz w:val="22"/>
          <w:lang w:val="bg-BG"/>
        </w:rPr>
        <w:t>Е</w:t>
      </w:r>
      <w:r>
        <w:rPr>
          <w:sz w:val="22"/>
        </w:rPr>
        <w:t>MR-Q-F-PR03-002)", покриващи едновременно вътрешни и външни одити (от сертифициращи органи), което отразява одитната програма за период от 12 месеца. Календарът може да бъде</w:t>
      </w:r>
      <w:r>
        <w:rPr>
          <w:sz w:val="22"/>
          <w:lang w:val="bg-BG"/>
        </w:rPr>
        <w:t xml:space="preserve"> променян (да бъдат добавяни одити)</w:t>
      </w:r>
      <w:r>
        <w:rPr>
          <w:sz w:val="22"/>
        </w:rPr>
        <w:t xml:space="preserve"> въз основа на констатациите от одитите.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>Одит</w:t>
      </w:r>
      <w:r>
        <w:rPr>
          <w:sz w:val="22"/>
          <w:lang w:val="bg-BG"/>
        </w:rPr>
        <w:t>ът</w:t>
      </w:r>
      <w:r>
        <w:rPr>
          <w:sz w:val="22"/>
        </w:rPr>
        <w:t xml:space="preserve"> е предварително планиран и съответните одитори и одитираните обекти са информирани по-рано.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numPr>
          <w:ilvl w:val="0"/>
          <w:numId w:val="0"/>
        </w:numPr>
        <w:ind w:firstLine="720" w:end="0"/>
        <w:jc w:val="both"/>
        <w:outlineLvl w:val="0"/>
        <w:rPr>
          <w:sz w:val="22"/>
          <w:lang w:val="bg-BG"/>
        </w:rPr>
      </w:pPr>
      <w:r>
        <w:rPr>
          <w:sz w:val="22"/>
          <w:lang w:val="bg-BG"/>
        </w:rPr>
        <w:t>Всеки одит се определя с уникален номер.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numPr>
          <w:ilvl w:val="0"/>
          <w:numId w:val="0"/>
        </w:numPr>
        <w:jc w:val="both"/>
        <w:outlineLvl w:val="0"/>
        <w:rPr>
          <w:b/>
          <w:sz w:val="22"/>
          <w:u w:val="single"/>
        </w:rPr>
      </w:pPr>
      <w:r>
        <w:rPr>
          <w:b/>
          <w:sz w:val="22"/>
          <w:u w:val="single"/>
        </w:rPr>
        <w:t>Процес по одит</w:t>
      </w:r>
    </w:p>
    <w:p>
      <w:pPr>
        <w:pStyle w:val="Normal"/>
        <w:jc w:val="both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Одитите се извършват </w:t>
      </w:r>
      <w:r>
        <w:rPr>
          <w:sz w:val="22"/>
          <w:lang w:val="bg-BG"/>
        </w:rPr>
        <w:t xml:space="preserve">само </w:t>
      </w:r>
      <w:r>
        <w:rPr>
          <w:sz w:val="22"/>
        </w:rPr>
        <w:t xml:space="preserve">въз основа на критерии за одит (приложими раздели на </w:t>
      </w:r>
      <w:r>
        <w:rPr>
          <w:sz w:val="22"/>
          <w:lang w:val="bg-BG"/>
        </w:rPr>
        <w:t xml:space="preserve">Стандарт </w:t>
      </w:r>
      <w:r>
        <w:rPr>
          <w:sz w:val="22"/>
        </w:rPr>
        <w:t>ISO 9001: 2015,</w:t>
      </w:r>
      <w:r>
        <w:rPr>
          <w:sz w:val="22"/>
          <w:lang w:val="bg-BG"/>
        </w:rPr>
        <w:t xml:space="preserve"> </w:t>
      </w:r>
      <w:r>
        <w:rPr>
          <w:sz w:val="22"/>
        </w:rPr>
        <w:t>ISO14001:2015</w:t>
      </w:r>
      <w:r>
        <w:rPr>
          <w:sz w:val="22"/>
          <w:lang w:val="bg-BG"/>
        </w:rPr>
        <w:t>,</w:t>
      </w:r>
      <w:r>
        <w:rPr>
          <w:sz w:val="22"/>
        </w:rPr>
        <w:t xml:space="preserve"> </w:t>
      </w:r>
      <w:r>
        <w:rPr>
          <w:sz w:val="22"/>
          <w:lang w:val="bg-BG"/>
        </w:rPr>
        <w:t>Наръчници по Интегрирана с</w:t>
      </w:r>
      <w:r>
        <w:rPr>
          <w:sz w:val="22"/>
        </w:rPr>
        <w:t xml:space="preserve">истема за </w:t>
      </w:r>
      <w:r>
        <w:rPr>
          <w:sz w:val="22"/>
          <w:lang w:val="bg-BG"/>
        </w:rPr>
        <w:t xml:space="preserve">управление на </w:t>
      </w:r>
      <w:r>
        <w:rPr>
          <w:sz w:val="22"/>
        </w:rPr>
        <w:t>качество</w:t>
      </w:r>
      <w:r>
        <w:rPr>
          <w:sz w:val="22"/>
          <w:lang w:val="bg-BG"/>
        </w:rPr>
        <w:t>то и околната среда</w:t>
      </w:r>
      <w:r>
        <w:rPr>
          <w:sz w:val="22"/>
        </w:rPr>
        <w:t>, други съответни стандарти и / или спецификации).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numPr>
          <w:ilvl w:val="0"/>
          <w:numId w:val="0"/>
        </w:numPr>
        <w:ind w:firstLine="720" w:end="0"/>
        <w:jc w:val="both"/>
        <w:outlineLvl w:val="0"/>
        <w:rPr/>
      </w:pPr>
      <w:r>
        <w:rPr>
          <w:sz w:val="22"/>
        </w:rPr>
        <w:t>Докладван</w:t>
      </w:r>
      <w:r>
        <w:rPr>
          <w:sz w:val="22"/>
          <w:lang w:val="bg-BG"/>
        </w:rPr>
        <w:t>ията</w:t>
      </w:r>
      <w:r>
        <w:rPr>
          <w:sz w:val="22"/>
        </w:rPr>
        <w:t xml:space="preserve"> </w:t>
      </w:r>
      <w:r>
        <w:rPr>
          <w:sz w:val="22"/>
          <w:lang w:val="bg-BG"/>
        </w:rPr>
        <w:t>за н</w:t>
      </w:r>
      <w:r>
        <w:rPr>
          <w:sz w:val="22"/>
        </w:rPr>
        <w:t>есъответстви</w:t>
      </w:r>
      <w:r>
        <w:rPr>
          <w:sz w:val="22"/>
          <w:lang w:val="bg-BG"/>
        </w:rPr>
        <w:t>я</w:t>
      </w:r>
      <w:r>
        <w:rPr>
          <w:sz w:val="22"/>
        </w:rPr>
        <w:t xml:space="preserve"> се основава</w:t>
      </w:r>
      <w:r>
        <w:rPr>
          <w:sz w:val="22"/>
          <w:lang w:val="bg-BG"/>
        </w:rPr>
        <w:t>т</w:t>
      </w:r>
      <w:r>
        <w:rPr>
          <w:sz w:val="22"/>
        </w:rPr>
        <w:t xml:space="preserve"> на обективни доказателства.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>Когато действително / потенциал</w:t>
      </w:r>
      <w:r>
        <w:rPr>
          <w:sz w:val="22"/>
          <w:lang w:val="bg-BG"/>
        </w:rPr>
        <w:t>но</w:t>
      </w:r>
      <w:r>
        <w:rPr>
          <w:sz w:val="22"/>
        </w:rPr>
        <w:t xml:space="preserve"> несъответствие се наблюдава по време на одита, одитиран както и одитор трябва да се споразумеят за следното: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>- Обективни доказателства</w:t>
      </w:r>
    </w:p>
    <w:p>
      <w:pPr>
        <w:pStyle w:val="Normal"/>
        <w:ind w:firstLine="720" w:end="0"/>
        <w:jc w:val="both"/>
        <w:rPr/>
      </w:pPr>
      <w:r>
        <w:rPr>
          <w:sz w:val="22"/>
        </w:rPr>
        <w:t>- Характер на наблюдаваното отклонение (</w:t>
      </w:r>
      <w:r>
        <w:rPr>
          <w:sz w:val="22"/>
          <w:lang w:val="bg-BG"/>
        </w:rPr>
        <w:t>Минимално</w:t>
      </w:r>
      <w:r>
        <w:rPr>
          <w:sz w:val="22"/>
        </w:rPr>
        <w:t xml:space="preserve"> / </w:t>
      </w:r>
      <w:r>
        <w:rPr>
          <w:sz w:val="22"/>
          <w:lang w:val="bg-BG"/>
        </w:rPr>
        <w:t>Максимално</w:t>
      </w:r>
      <w:r>
        <w:rPr>
          <w:sz w:val="22"/>
        </w:rPr>
        <w:t>)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- Коригиращи / превантивни действия и датата на падежа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>- Необходимост от последващи одити или проверка и датата на падежа.</w:t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numPr>
          <w:ilvl w:val="0"/>
          <w:numId w:val="0"/>
        </w:numPr>
        <w:jc w:val="both"/>
        <w:outlineLvl w:val="0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 xml:space="preserve">Записване на резултатите от </w:t>
      </w:r>
      <w:r>
        <w:rPr>
          <w:b/>
          <w:sz w:val="22"/>
          <w:u w:val="single"/>
          <w:lang w:val="bg-BG"/>
        </w:rPr>
        <w:t>одита по ИСУ</w:t>
      </w:r>
    </w:p>
    <w:p>
      <w:pPr>
        <w:pStyle w:val="Normal"/>
        <w:jc w:val="both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>Одиторите</w:t>
      </w:r>
      <w:r>
        <w:rPr>
          <w:sz w:val="22"/>
        </w:rPr>
        <w:t xml:space="preserve"> записват наблюдаваните несъответствия, пропуски, както и възможностите за подобрение в областта / отдела, които са одитирани. За тази цел</w:t>
      </w:r>
      <w:r>
        <w:rPr>
          <w:sz w:val="22"/>
          <w:lang w:val="bg-BG"/>
        </w:rPr>
        <w:t xml:space="preserve"> се използва</w:t>
      </w:r>
      <w:r>
        <w:rPr>
          <w:sz w:val="22"/>
        </w:rPr>
        <w:t xml:space="preserve"> "</w:t>
      </w:r>
      <w:r>
        <w:rPr>
          <w:sz w:val="22"/>
          <w:lang w:val="bg-BG"/>
        </w:rPr>
        <w:t>Формуляр Бележки от вътрешни одити</w:t>
      </w:r>
      <w:r>
        <w:rPr>
          <w:sz w:val="22"/>
        </w:rPr>
        <w:t xml:space="preserve"> (Q</w:t>
      </w:r>
      <w:r>
        <w:rPr>
          <w:sz w:val="22"/>
          <w:lang w:val="bg-BG"/>
        </w:rPr>
        <w:t>Е</w:t>
      </w:r>
      <w:r>
        <w:rPr>
          <w:sz w:val="22"/>
        </w:rPr>
        <w:t xml:space="preserve">MR-Q-F-PR03-003)". </w:t>
      </w:r>
    </w:p>
    <w:p>
      <w:pPr>
        <w:pStyle w:val="Normal"/>
        <w:numPr>
          <w:ilvl w:val="0"/>
          <w:numId w:val="0"/>
        </w:numPr>
        <w:ind w:firstLine="720" w:end="0"/>
        <w:jc w:val="both"/>
        <w:outlineLvl w:val="0"/>
        <w:rPr/>
      </w:pPr>
      <w:r>
        <w:rPr>
          <w:sz w:val="22"/>
          <w:lang w:val="bg-BG"/>
        </w:rPr>
        <w:t>Одиторите</w:t>
      </w:r>
      <w:r>
        <w:rPr>
          <w:sz w:val="22"/>
        </w:rPr>
        <w:t xml:space="preserve"> преда</w:t>
      </w:r>
      <w:r>
        <w:rPr>
          <w:sz w:val="22"/>
          <w:lang w:val="bg-BG"/>
        </w:rPr>
        <w:t>ват</w:t>
      </w:r>
      <w:r>
        <w:rPr>
          <w:sz w:val="22"/>
        </w:rPr>
        <w:t xml:space="preserve"> </w:t>
      </w:r>
      <w:r>
        <w:rPr>
          <w:sz w:val="22"/>
          <w:lang w:val="bg-BG"/>
        </w:rPr>
        <w:t>Бележките от вътрешни одити</w:t>
      </w:r>
      <w:r>
        <w:rPr>
          <w:sz w:val="22"/>
        </w:rPr>
        <w:t xml:space="preserve"> </w:t>
      </w:r>
      <w:r>
        <w:rPr>
          <w:sz w:val="22"/>
          <w:lang w:val="bg-BG"/>
        </w:rPr>
        <w:t>на УПР.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numPr>
          <w:ilvl w:val="0"/>
          <w:numId w:val="0"/>
        </w:numPr>
        <w:jc w:val="both"/>
        <w:outlineLvl w:val="0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Последващи действия след одити</w:t>
      </w:r>
    </w:p>
    <w:p>
      <w:pPr>
        <w:pStyle w:val="Normal"/>
        <w:jc w:val="both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 xml:space="preserve">Когато </w:t>
      </w:r>
      <w:r>
        <w:rPr>
          <w:sz w:val="22"/>
          <w:lang w:val="bg-BG"/>
        </w:rPr>
        <w:t xml:space="preserve">са открити </w:t>
      </w:r>
      <w:r>
        <w:rPr>
          <w:sz w:val="22"/>
        </w:rPr>
        <w:t>несъответстви</w:t>
      </w:r>
      <w:r>
        <w:rPr>
          <w:sz w:val="22"/>
          <w:lang w:val="bg-BG"/>
        </w:rPr>
        <w:t>я</w:t>
      </w:r>
      <w:r>
        <w:rPr>
          <w:sz w:val="22"/>
        </w:rPr>
        <w:t xml:space="preserve"> по време на проверките</w:t>
      </w:r>
      <w:r>
        <w:rPr>
          <w:sz w:val="22"/>
          <w:lang w:val="bg-BG"/>
        </w:rPr>
        <w:t>, те</w:t>
      </w:r>
      <w:r>
        <w:rPr>
          <w:sz w:val="22"/>
        </w:rPr>
        <w:t xml:space="preserve"> не се отстранява</w:t>
      </w:r>
      <w:r>
        <w:rPr>
          <w:sz w:val="22"/>
          <w:lang w:val="bg-BG"/>
        </w:rPr>
        <w:t>т</w:t>
      </w:r>
      <w:r>
        <w:rPr>
          <w:sz w:val="22"/>
        </w:rPr>
        <w:t xml:space="preserve"> по време на одита, </w:t>
      </w:r>
      <w:r>
        <w:rPr>
          <w:sz w:val="22"/>
          <w:lang w:val="bg-BG"/>
        </w:rPr>
        <w:t>а чрез последващи действия след одита</w:t>
      </w:r>
      <w:r>
        <w:rPr>
          <w:sz w:val="22"/>
        </w:rPr>
        <w:t xml:space="preserve">. </w:t>
      </w:r>
      <w:r>
        <w:rPr>
          <w:sz w:val="22"/>
          <w:lang w:val="bg-BG"/>
        </w:rPr>
        <w:t>УПР</w:t>
      </w:r>
      <w:r>
        <w:rPr>
          <w:sz w:val="22"/>
        </w:rPr>
        <w:t xml:space="preserve"> следи </w:t>
      </w:r>
      <w:r>
        <w:rPr>
          <w:sz w:val="22"/>
          <w:lang w:val="bg-BG"/>
        </w:rPr>
        <w:t>записаните несъответствия в Бележки от вътрешни одити</w:t>
      </w:r>
      <w:r>
        <w:rPr>
          <w:sz w:val="22"/>
        </w:rPr>
        <w:t xml:space="preserve"> и гарантира, че </w:t>
      </w:r>
      <w:r>
        <w:rPr>
          <w:sz w:val="22"/>
          <w:lang w:val="bg-BG"/>
        </w:rPr>
        <w:t>спрямо тях са предприети действия в рамките на договорения срок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numPr>
          <w:ilvl w:val="0"/>
          <w:numId w:val="0"/>
        </w:numPr>
        <w:jc w:val="both"/>
        <w:outlineLvl w:val="0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 xml:space="preserve">Закриване на </w:t>
      </w:r>
      <w:r>
        <w:rPr>
          <w:b/>
          <w:sz w:val="22"/>
          <w:u w:val="single"/>
          <w:lang w:val="bg-BG"/>
        </w:rPr>
        <w:t>несъответствия</w:t>
      </w:r>
    </w:p>
    <w:p>
      <w:pPr>
        <w:pStyle w:val="Normal"/>
        <w:jc w:val="both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След като коригиращите действия са извършени, и ако не се изисква по-нататъшно проследяване на одита, може </w:t>
      </w:r>
      <w:r>
        <w:rPr>
          <w:sz w:val="22"/>
          <w:lang w:val="bg-BG"/>
        </w:rPr>
        <w:t xml:space="preserve">несъответствията </w:t>
      </w:r>
      <w:r>
        <w:rPr>
          <w:sz w:val="22"/>
        </w:rPr>
        <w:t>да се третира</w:t>
      </w:r>
      <w:r>
        <w:rPr>
          <w:sz w:val="22"/>
          <w:lang w:val="bg-BG"/>
        </w:rPr>
        <w:t>т</w:t>
      </w:r>
      <w:r>
        <w:rPr>
          <w:sz w:val="22"/>
        </w:rPr>
        <w:t xml:space="preserve"> като "затворен</w:t>
      </w:r>
      <w:r>
        <w:rPr>
          <w:sz w:val="22"/>
          <w:lang w:val="bg-BG"/>
        </w:rPr>
        <w:t>и</w:t>
      </w:r>
      <w:r>
        <w:rPr>
          <w:sz w:val="22"/>
        </w:rPr>
        <w:t xml:space="preserve">". Тогава </w:t>
      </w:r>
      <w:r>
        <w:rPr>
          <w:sz w:val="22"/>
          <w:lang w:val="bg-BG"/>
        </w:rPr>
        <w:t>УПР,</w:t>
      </w:r>
      <w:r>
        <w:rPr>
          <w:sz w:val="22"/>
        </w:rPr>
        <w:t xml:space="preserve"> отчита този факт в </w:t>
      </w:r>
      <w:r>
        <w:rPr>
          <w:sz w:val="22"/>
          <w:lang w:val="bg-BG"/>
        </w:rPr>
        <w:t>Бележки от вътрешни одити</w:t>
      </w:r>
      <w:r>
        <w:rPr>
          <w:sz w:val="22"/>
        </w:rPr>
        <w:t>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>УПР</w:t>
      </w:r>
      <w:r>
        <w:rPr>
          <w:sz w:val="22"/>
        </w:rPr>
        <w:t xml:space="preserve"> представя резюме </w:t>
      </w:r>
      <w:r>
        <w:rPr>
          <w:sz w:val="22"/>
          <w:lang w:val="bg-BG"/>
        </w:rPr>
        <w:t>от</w:t>
      </w:r>
      <w:r>
        <w:rPr>
          <w:sz w:val="22"/>
        </w:rPr>
        <w:t xml:space="preserve"> вътрешен</w:t>
      </w:r>
      <w:r>
        <w:rPr>
          <w:sz w:val="22"/>
          <w:lang w:val="bg-BG"/>
        </w:rPr>
        <w:t>ия</w:t>
      </w:r>
      <w:r>
        <w:rPr>
          <w:sz w:val="22"/>
        </w:rPr>
        <w:t xml:space="preserve"> одит в следващото заседание </w:t>
      </w:r>
      <w:r>
        <w:rPr>
          <w:sz w:val="22"/>
          <w:lang w:val="bg-BG"/>
        </w:rPr>
        <w:t>по П</w:t>
      </w:r>
      <w:r>
        <w:rPr>
          <w:sz w:val="22"/>
        </w:rPr>
        <w:t>реглед от ръководството.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numPr>
          <w:ilvl w:val="0"/>
          <w:numId w:val="0"/>
        </w:numPr>
        <w:outlineLvl w:val="0"/>
        <w:rPr/>
      </w:pPr>
      <w:r>
        <w:rPr>
          <w:b/>
          <w:sz w:val="22"/>
          <w:u w:val="single"/>
        </w:rPr>
        <w:t xml:space="preserve">7. </w:t>
      </w:r>
      <w:r>
        <w:rPr>
          <w:b/>
          <w:sz w:val="22"/>
          <w:u w:val="single"/>
          <w:lang w:val="bg-BG"/>
        </w:rPr>
        <w:t>ЗАПИСИ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  <w:t>Поддържат се следните записи: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3855"/>
        <w:gridCol w:w="1559"/>
        <w:gridCol w:w="1134"/>
        <w:gridCol w:w="1276"/>
        <w:gridCol w:w="1536"/>
      </w:tblGrid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Footer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Име на формуляри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Формат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Вид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Период на съхранение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Отговорник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>Q</w:t>
            </w:r>
            <w:r>
              <w:rPr>
                <w:sz w:val="22"/>
                <w:lang w:val="bg-BG"/>
              </w:rPr>
              <w:t>Е</w:t>
            </w:r>
            <w:r>
              <w:rPr>
                <w:sz w:val="22"/>
              </w:rPr>
              <w:t xml:space="preserve">MR-Q-F-PR03-001 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 xml:space="preserve">Формуляр Списък на </w:t>
            </w:r>
            <w:r>
              <w:rPr>
                <w:sz w:val="22"/>
                <w:lang w:val="bg-BG"/>
              </w:rPr>
              <w:t>одиторите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Български,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Текст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Електронно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Периодично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УПР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>Q</w:t>
            </w:r>
            <w:r>
              <w:rPr>
                <w:sz w:val="22"/>
                <w:lang w:val="bg-BG"/>
              </w:rPr>
              <w:t>Е</w:t>
            </w:r>
            <w:r>
              <w:rPr>
                <w:sz w:val="22"/>
              </w:rPr>
              <w:t xml:space="preserve">MR-Q-F-PR03-002 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Формуляр Календар годишни одити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Български,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Текст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Електронно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 xml:space="preserve">Минимум </w:t>
            </w:r>
          </w:p>
          <w:p>
            <w:pPr>
              <w:pStyle w:val="Normal"/>
              <w:ind w:end="-108"/>
              <w:rPr>
                <w:sz w:val="22"/>
              </w:rPr>
            </w:pPr>
            <w:r>
              <w:rPr>
                <w:lang w:val="bg-BG"/>
              </w:rPr>
              <w:t>3 години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УПР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>Q</w:t>
            </w:r>
            <w:r>
              <w:rPr>
                <w:sz w:val="22"/>
                <w:lang w:val="bg-BG"/>
              </w:rPr>
              <w:t>Е</w:t>
            </w:r>
            <w:r>
              <w:rPr>
                <w:sz w:val="22"/>
              </w:rPr>
              <w:t xml:space="preserve">MR-Q-F-PR03-003 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Формуляр Бележки от вътрешни одити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Български,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Текст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На хартия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 xml:space="preserve">Минимум </w:t>
            </w:r>
          </w:p>
          <w:p>
            <w:pPr>
              <w:pStyle w:val="Normal"/>
              <w:ind w:end="-108"/>
              <w:rPr>
                <w:sz w:val="22"/>
              </w:rPr>
            </w:pPr>
            <w:r>
              <w:rPr>
                <w:lang w:val="bg-BG"/>
              </w:rPr>
              <w:t>3 години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УПР</w:t>
            </w:r>
          </w:p>
        </w:tc>
      </w:tr>
    </w:tbl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9781" w:leader="none"/>
        </w:tabs>
        <w:ind w:end="42"/>
        <w:outlineLvl w:val="0"/>
        <w:rPr/>
      </w:pPr>
      <w:r>
        <w:rPr>
          <w:b/>
          <w:sz w:val="22"/>
          <w:u w:val="single"/>
        </w:rPr>
        <w:t xml:space="preserve">8. </w:t>
      </w:r>
      <w:r>
        <w:rPr>
          <w:b/>
          <w:sz w:val="22"/>
          <w:u w:val="single"/>
          <w:lang w:val="bg-BG"/>
        </w:rPr>
        <w:t>ИСТОРИЯ НА ДОКУМЕНТ</w:t>
      </w:r>
      <w:r>
        <w:rPr>
          <w:b/>
          <w:sz w:val="22"/>
          <w:u w:val="single"/>
        </w:rPr>
        <w:t>:</w:t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70"/>
        <w:gridCol w:w="4926"/>
        <w:gridCol w:w="1701"/>
        <w:gridCol w:w="2103"/>
      </w:tblGrid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  <w:lang w:val="bg-BG"/>
              </w:rPr>
              <w:t>Версия №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Промени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Променено от</w:t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  <w:lang w:val="bg-BG"/>
              </w:rPr>
              <w:t>Забележки от</w:t>
            </w:r>
            <w:r>
              <w:rPr>
                <w:b/>
                <w:sz w:val="20"/>
              </w:rPr>
              <w:t xml:space="preserve">  </w:t>
            </w:r>
            <w:r>
              <w:rPr>
                <w:sz w:val="22"/>
                <w:lang w:val="bg-BG"/>
              </w:rPr>
              <w:t>УПР</w:t>
            </w:r>
          </w:p>
        </w:tc>
      </w:tr>
      <w:tr>
        <w:trPr>
          <w:trHeight w:val="155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V-001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Първа версия, одобрена за изпълнение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</w:tr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jc w:val="end"/>
        <w:rPr>
          <w:sz w:val="22"/>
          <w:lang w:val="bg-BG"/>
        </w:rPr>
      </w:pPr>
      <w:r>
        <w:rPr>
          <w:sz w:val="22"/>
        </w:rPr>
        <w:t>Q</w:t>
      </w:r>
      <w:r>
        <w:rPr>
          <w:sz w:val="22"/>
          <w:lang w:val="bg-BG"/>
        </w:rPr>
        <w:t>Е</w:t>
      </w:r>
      <w:r>
        <w:rPr>
          <w:sz w:val="22"/>
        </w:rPr>
        <w:t xml:space="preserve">MR-Q-F-PR03-001 </w:t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jc w:val="center"/>
        <w:rPr>
          <w:b/>
          <w:lang w:val="bg-BG"/>
        </w:rPr>
      </w:pPr>
      <w:r>
        <w:rPr>
          <w:b/>
          <w:lang w:val="bg-BG"/>
        </w:rPr>
        <w:t>СПИСЪК НА ОДИТОРИТЕ</w:t>
      </w:r>
    </w:p>
    <w:p>
      <w:pPr>
        <w:pStyle w:val="Normal"/>
        <w:rPr/>
      </w:pPr>
      <w:r>
        <w:rPr/>
      </w:r>
    </w:p>
    <w:tbl>
      <w:tblPr>
        <w:tblW w:w="974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7"/>
        <w:gridCol w:w="3686"/>
        <w:gridCol w:w="1275"/>
        <w:gridCol w:w="1560"/>
        <w:gridCol w:w="2409"/>
      </w:tblGrid>
      <w:tr>
        <w:trPr/>
        <w:tc>
          <w:tcPr>
            <w:tcW w:w="8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3686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Име и адрес на одитора</w:t>
            </w:r>
          </w:p>
        </w:tc>
        <w:tc>
          <w:tcPr>
            <w:tcW w:w="1275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Вътрешен/Външен</w:t>
            </w:r>
          </w:p>
        </w:tc>
        <w:tc>
          <w:tcPr>
            <w:tcW w:w="1560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Квалификация / Опит</w:t>
            </w:r>
          </w:p>
        </w:tc>
        <w:tc>
          <w:tcPr>
            <w:tcW w:w="2409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>
                <w:b/>
              </w:rPr>
              <w:t xml:space="preserve">Областите, които </w:t>
            </w:r>
            <w:r>
              <w:rPr>
                <w:b/>
                <w:lang w:val="bg-BG"/>
              </w:rPr>
              <w:t xml:space="preserve">НЕ </w:t>
            </w:r>
            <w:r>
              <w:rPr>
                <w:b/>
              </w:rPr>
              <w:t>могат да бъдат одитирани.</w:t>
            </w:r>
          </w:p>
        </w:tc>
      </w:tr>
      <w:tr>
        <w:trPr/>
        <w:tc>
          <w:tcPr>
            <w:tcW w:w="817" w:type="dxa"/>
            <w:tcBorders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368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127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09" w:type="dxa"/>
            <w:tcBorders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817" w:type="dxa"/>
            <w:tcBorders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68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127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09" w:type="dxa"/>
            <w:tcBorders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817" w:type="dxa"/>
            <w:tcBorders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68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127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09" w:type="dxa"/>
            <w:tcBorders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817" w:type="dxa"/>
            <w:tcBorders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68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127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09" w:type="dxa"/>
            <w:tcBorders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857" w:hRule="atLeast"/>
        </w:trPr>
        <w:tc>
          <w:tcPr>
            <w:tcW w:w="817" w:type="dxa"/>
            <w:tcBorders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68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127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09" w:type="dxa"/>
            <w:tcBorders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817" w:type="dxa"/>
            <w:tcBorders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68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127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09" w:type="dxa"/>
            <w:tcBorders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418" w:hRule="atLeast"/>
        </w:trPr>
        <w:tc>
          <w:tcPr>
            <w:tcW w:w="817" w:type="dxa"/>
            <w:tcBorders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68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127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09" w:type="dxa"/>
            <w:tcBorders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817" w:type="dxa"/>
            <w:tcBorders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68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127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09" w:type="dxa"/>
            <w:tcBorders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817" w:type="dxa"/>
            <w:tcBorders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68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127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09" w:type="dxa"/>
            <w:tcBorders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817" w:type="dxa"/>
            <w:tcBorders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686" w:type="dxa"/>
            <w:tcBorders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1275" w:type="dxa"/>
            <w:tcBorders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09" w:type="dxa"/>
            <w:tcBorders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>
          <w:b/>
          <w:lang w:val="bg-BG"/>
        </w:rPr>
        <w:t>Одобрено от</w:t>
      </w:r>
      <w:r>
        <w:rPr>
          <w:b/>
        </w:rPr>
        <w:t xml:space="preserve"> :</w:t>
      </w:r>
      <w:r>
        <w:rPr/>
        <w:t xml:space="preserve"> …………..………………………</w:t>
      </w:r>
    </w:p>
    <w:p>
      <w:pPr>
        <w:pStyle w:val="Normal"/>
        <w:rPr>
          <w:lang w:val="bg-BG"/>
        </w:rPr>
      </w:pPr>
      <w:r>
        <w:rPr>
          <w:b/>
          <w:lang w:val="bg-BG"/>
        </w:rPr>
        <w:t xml:space="preserve"> </w:t>
      </w:r>
      <w:r>
        <w:rPr>
          <w:b/>
          <w:lang w:val="bg-BG"/>
        </w:rPr>
        <w:tab/>
        <w:tab/>
        <w:tab/>
        <w:t>Управител</w:t>
      </w:r>
    </w:p>
    <w:p>
      <w:pPr>
        <w:pStyle w:val="Normal"/>
        <w:rPr/>
      </w:pPr>
      <w:r>
        <w:rPr/>
        <w:t xml:space="preserve">              </w:t>
      </w:r>
    </w:p>
    <w:p>
      <w:pPr>
        <w:pStyle w:val="Normal"/>
        <w:rPr>
          <w:b/>
        </w:rPr>
        <w:sectPr>
          <w:headerReference w:type="default" r:id="rId2"/>
          <w:footerReference w:type="default" r:id="rId3"/>
          <w:type w:val="nextPage"/>
          <w:pgSz w:w="11906" w:h="16838"/>
          <w:pgMar w:left="1418" w:right="567" w:gutter="0" w:header="708" w:top="2836" w:footer="755" w:bottom="1134"/>
          <w:pgNumType w:fmt="decimal"/>
          <w:formProt w:val="false"/>
          <w:textDirection w:val="lrTb"/>
          <w:docGrid w:type="default" w:linePitch="360" w:charSpace="0"/>
        </w:sectPr>
      </w:pPr>
      <w:r>
        <w:rPr/>
        <w:t xml:space="preserve"> </w:t>
      </w:r>
      <w:r>
        <w:rPr>
          <w:b/>
          <w:lang w:val="bg-BG"/>
        </w:rPr>
        <w:t>Дата</w:t>
      </w:r>
      <w:r>
        <w:rPr>
          <w:b/>
        </w:rPr>
        <w:t xml:space="preserve">: </w:t>
      </w:r>
      <w:r>
        <w:rPr/>
        <w:t xml:space="preserve"> ……………………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end"/>
        <w:rPr>
          <w:sz w:val="22"/>
          <w:lang w:val="bg-BG"/>
        </w:rPr>
      </w:pPr>
      <w:r>
        <w:rPr>
          <w:sz w:val="22"/>
        </w:rPr>
        <w:t>Q</w:t>
      </w:r>
      <w:r>
        <w:rPr>
          <w:sz w:val="22"/>
          <w:lang w:val="bg-BG"/>
        </w:rPr>
        <w:t>Е</w:t>
      </w:r>
      <w:r>
        <w:rPr>
          <w:sz w:val="22"/>
        </w:rPr>
        <w:t xml:space="preserve">MR-Q-F-PR03-002 </w:t>
      </w:r>
    </w:p>
    <w:p>
      <w:pPr>
        <w:pStyle w:val="Normal"/>
        <w:jc w:val="center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jc w:val="center"/>
        <w:rPr>
          <w:b/>
          <w:lang w:val="bg-BG"/>
        </w:rPr>
      </w:pPr>
      <w:r>
        <w:rPr>
          <w:b/>
          <w:lang w:val="bg-BG"/>
        </w:rPr>
        <w:t>КАЛЕНДАР ГОДИШНИ ОДИТИ</w:t>
      </w:r>
    </w:p>
    <w:p>
      <w:pPr>
        <w:pStyle w:val="Normal"/>
        <w:rPr/>
      </w:pPr>
      <w:r>
        <w:rPr/>
      </w:r>
    </w:p>
    <w:tbl>
      <w:tblPr>
        <w:tblW w:w="14040" w:type="dxa"/>
        <w:jc w:val="start"/>
        <w:tblInd w:w="-57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30"/>
        <w:gridCol w:w="1530"/>
        <w:gridCol w:w="1530"/>
        <w:gridCol w:w="2430"/>
        <w:gridCol w:w="900"/>
        <w:gridCol w:w="1440"/>
        <w:gridCol w:w="1395"/>
        <w:gridCol w:w="1395"/>
        <w:gridCol w:w="1395"/>
        <w:gridCol w:w="1395"/>
      </w:tblGrid>
      <w:tr>
        <w:trPr/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lang w:val="en-GB"/>
              </w:rPr>
            </w:pPr>
            <w:r>
              <w:rPr>
                <w:b/>
                <w:lang w:val="en-GB"/>
              </w:rPr>
            </w:r>
          </w:p>
          <w:p>
            <w:pPr>
              <w:pStyle w:val="Normal"/>
              <w:rPr>
                <w:b/>
                <w:lang w:val="en-GB"/>
              </w:rPr>
            </w:pPr>
            <w:r>
              <w:rPr>
                <w:b/>
                <w:lang w:val="en-GB"/>
              </w:rPr>
              <w:t>№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lang w:val="en-GB"/>
              </w:rPr>
            </w:pPr>
            <w:r>
              <w:rPr>
                <w:b/>
                <w:lang w:val="en-GB"/>
              </w:rPr>
            </w:r>
          </w:p>
          <w:p>
            <w:pPr>
              <w:pStyle w:val="Normal"/>
              <w:rPr>
                <w:b/>
                <w:lang w:val="bg-BG"/>
              </w:rPr>
            </w:pPr>
            <w:r>
              <w:rPr>
                <w:b/>
                <w:lang w:val="bg-BG"/>
              </w:rPr>
              <w:t>Тип на одита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lang w:val="bg-BG"/>
              </w:rPr>
            </w:pPr>
            <w:r>
              <w:rPr>
                <w:b/>
                <w:lang w:val="bg-BG"/>
              </w:rPr>
              <w:t>Кой го провежда?</w:t>
            </w:r>
          </w:p>
        </w:tc>
        <w:tc>
          <w:tcPr>
            <w:tcW w:w="2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lang w:val="en-GB"/>
              </w:rPr>
            </w:pPr>
            <w:r>
              <w:rPr>
                <w:b/>
                <w:lang w:val="en-GB"/>
              </w:rPr>
            </w:r>
          </w:p>
          <w:p>
            <w:pPr>
              <w:pStyle w:val="Normal"/>
              <w:rPr>
                <w:b/>
                <w:lang w:val="bg-BG"/>
              </w:rPr>
            </w:pPr>
            <w:r>
              <w:rPr>
                <w:b/>
                <w:lang w:val="bg-BG"/>
              </w:rPr>
              <w:t>Обхват на одита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lang w:val="bg-BG"/>
              </w:rPr>
            </w:pPr>
            <w:r>
              <w:rPr>
                <w:b/>
                <w:lang w:val="bg-BG"/>
              </w:rPr>
              <w:t>Продължителност на одита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lang w:val="en-GB"/>
              </w:rPr>
            </w:pPr>
            <w:r>
              <w:rPr>
                <w:b/>
                <w:lang w:val="en-GB"/>
              </w:rPr>
            </w:r>
          </w:p>
          <w:p>
            <w:pPr>
              <w:pStyle w:val="Normal"/>
              <w:rPr>
                <w:b/>
                <w:lang w:val="bg-BG"/>
              </w:rPr>
            </w:pPr>
            <w:r>
              <w:rPr>
                <w:b/>
                <w:lang w:val="bg-BG"/>
              </w:rPr>
              <w:t>Одитирани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lang w:val="en-GB"/>
              </w:rPr>
            </w:pPr>
            <w:r>
              <w:rPr>
                <w:b/>
                <w:lang w:val="en-GB"/>
              </w:rPr>
            </w:r>
          </w:p>
          <w:p>
            <w:pPr>
              <w:pStyle w:val="Normal"/>
              <w:rPr>
                <w:b/>
                <w:lang w:val="bg-BG"/>
              </w:rPr>
            </w:pPr>
            <w:r>
              <w:rPr>
                <w:b/>
                <w:lang w:val="bg-BG"/>
              </w:rPr>
              <w:t>Януари-Март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lang w:val="en-GB"/>
              </w:rPr>
            </w:pPr>
            <w:r>
              <w:rPr>
                <w:b/>
                <w:lang w:val="en-GB"/>
              </w:rPr>
            </w:r>
          </w:p>
          <w:p>
            <w:pPr>
              <w:pStyle w:val="Normal"/>
              <w:rPr>
                <w:b/>
                <w:lang w:val="bg-BG"/>
              </w:rPr>
            </w:pPr>
            <w:r>
              <w:rPr>
                <w:b/>
                <w:lang w:val="bg-BG"/>
              </w:rPr>
              <w:t>Април-Юни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lang w:val="en-GB"/>
              </w:rPr>
            </w:pPr>
            <w:r>
              <w:rPr>
                <w:b/>
                <w:lang w:val="en-GB"/>
              </w:rPr>
            </w:r>
          </w:p>
          <w:p>
            <w:pPr>
              <w:pStyle w:val="Normal"/>
              <w:rPr>
                <w:b/>
                <w:lang w:val="bg-BG"/>
              </w:rPr>
            </w:pPr>
            <w:r>
              <w:rPr>
                <w:b/>
                <w:lang w:val="bg-BG"/>
              </w:rPr>
              <w:t>Юли-Септември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lang w:val="en-GB"/>
              </w:rPr>
            </w:pPr>
            <w:r>
              <w:rPr>
                <w:b/>
                <w:lang w:val="en-GB"/>
              </w:rPr>
            </w:r>
          </w:p>
          <w:p>
            <w:pPr>
              <w:pStyle w:val="Normal"/>
              <w:rPr>
                <w:b/>
                <w:lang w:val="bg-BG"/>
              </w:rPr>
            </w:pPr>
            <w:r>
              <w:rPr>
                <w:b/>
                <w:lang w:val="bg-BG"/>
              </w:rPr>
              <w:t>Октомври-Декември</w:t>
            </w:r>
          </w:p>
        </w:tc>
      </w:tr>
      <w:tr>
        <w:trPr/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lang w:val="en-GB"/>
              </w:rPr>
            </w:pPr>
            <w:r>
              <w:rPr>
                <w:b/>
                <w:lang w:val="en-GB"/>
              </w:rPr>
            </w:r>
          </w:p>
          <w:p>
            <w:pPr>
              <w:pStyle w:val="Normal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2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</w:tr>
      <w:tr>
        <w:trPr/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2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</w:tr>
      <w:tr>
        <w:trPr/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2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</w:tr>
      <w:tr>
        <w:trPr/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2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</w:tr>
    </w:tbl>
    <w:p>
      <w:pPr>
        <w:pStyle w:val="Normal"/>
        <w:rPr/>
        <w:sectPr>
          <w:headerReference w:type="default" r:id="rId4"/>
          <w:headerReference w:type="first" r:id="rId5"/>
          <w:footerReference w:type="default" r:id="rId6"/>
          <w:footerReference w:type="first" r:id="rId7"/>
          <w:type w:val="nextPage"/>
          <w:pgSz w:orient="landscape" w:w="16838" w:h="11906"/>
          <w:pgMar w:left="2835" w:right="1134" w:gutter="0" w:header="709" w:top="765" w:footer="754" w:bottom="1418"/>
          <w:pgNumType w:fmt="decimal"/>
          <w:formProt w:val="false"/>
          <w:textDirection w:val="lrTb"/>
          <w:docGrid w:type="default" w:linePitch="360" w:charSpace="0"/>
        </w:sectPr>
      </w:pPr>
      <w:r>
        <w:rPr/>
      </w:r>
    </w:p>
    <w:p>
      <w:pPr>
        <w:pStyle w:val="Normal"/>
        <w:jc w:val="end"/>
        <w:rPr>
          <w:lang w:val="bg-BG"/>
        </w:rPr>
      </w:pPr>
      <w:r>
        <w:rPr/>
        <w:t>Q</w:t>
      </w:r>
      <w:r>
        <w:rPr>
          <w:lang w:val="bg-BG"/>
        </w:rPr>
        <w:t>Е</w:t>
      </w:r>
      <w:r>
        <w:rPr/>
        <w:t xml:space="preserve">MR-Q-F-PR03-003 </w:t>
      </w:r>
    </w:p>
    <w:p>
      <w:pPr>
        <w:pStyle w:val="Normal"/>
        <w:jc w:val="center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jc w:val="center"/>
        <w:rPr>
          <w:b/>
          <w:lang w:val="bg-BG"/>
        </w:rPr>
      </w:pPr>
      <w:r>
        <w:rPr>
          <w:b/>
          <w:lang w:val="bg-BG"/>
        </w:rPr>
        <w:t>БЕЛЕЖКИ ОТ ВЪТРЕШНИ ОДИТОРИ</w:t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rPr/>
      </w:pPr>
      <w:r>
        <w:rPr>
          <w:lang w:val="bg-BG"/>
        </w:rPr>
        <w:t>Одит №</w:t>
      </w:r>
      <w:r>
        <w:rPr/>
        <w:t xml:space="preserve"> :   ……………………   </w:t>
      </w:r>
      <w:r>
        <w:rPr>
          <w:lang w:val="bg-BG"/>
        </w:rPr>
        <w:t>Дата</w:t>
      </w:r>
      <w:r>
        <w:rPr/>
        <w:t xml:space="preserve">: ………………………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bg-BG"/>
        </w:rPr>
        <w:t>Одитирана зона</w:t>
      </w:r>
      <w:r>
        <w:rPr/>
        <w:t xml:space="preserve"> :   ...………………………………………………………………………………..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bg-BG"/>
        </w:rPr>
        <w:t xml:space="preserve">Одитор </w:t>
      </w:r>
      <w:r>
        <w:rPr/>
        <w:t xml:space="preserve">: …………………………………………  </w:t>
      </w:r>
      <w:r>
        <w:rPr>
          <w:lang w:val="bg-BG"/>
        </w:rPr>
        <w:t>Одитиран</w:t>
      </w:r>
      <w:r>
        <w:rPr/>
        <w:t>: …………………………………..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lang w:val="bg-BG"/>
        </w:rPr>
      </w:pPr>
      <w:r>
        <w:rPr>
          <w:b/>
        </w:rPr>
        <w:t>ОДИТНИ КОНСТАТАЦИИ:</w:t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</w:r>
    </w:p>
    <w:tbl>
      <w:tblPr>
        <w:tblW w:w="981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1170"/>
        <w:gridCol w:w="990"/>
        <w:gridCol w:w="4050"/>
        <w:gridCol w:w="2070"/>
        <w:gridCol w:w="990"/>
      </w:tblGrid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>
                <w:b/>
              </w:rPr>
              <w:t xml:space="preserve">ISO9001/14001:2015 </w:t>
            </w:r>
            <w:r>
              <w:rPr>
                <w:b/>
                <w:lang w:val="bg-BG"/>
              </w:rPr>
              <w:t>клаузи</w:t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  <w:lang w:val="bg-BG"/>
              </w:rPr>
              <w:t>Процедури по ИСУ</w:t>
            </w:r>
          </w:p>
        </w:tc>
        <w:tc>
          <w:tcPr>
            <w:tcW w:w="612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lang w:val="bg-BG"/>
              </w:rPr>
            </w:pPr>
            <w:r>
              <w:rPr>
                <w:b/>
                <w:lang w:val="bg-BG"/>
              </w:rPr>
              <w:t>Характер</w:t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  <w:p>
            <w:pPr>
              <w:pStyle w:val="Normal"/>
              <w:rPr>
                <w:b/>
                <w:lang w:val="bg-BG"/>
              </w:rPr>
            </w:pPr>
            <w:r>
              <w:rPr>
                <w:b/>
                <w:lang w:val="bg-BG"/>
              </w:rPr>
              <w:t>Тежест</w:t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12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6750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  <w:t>Подпис на Одитора</w:t>
            </w:r>
          </w:p>
        </w:tc>
        <w:tc>
          <w:tcPr>
            <w:tcW w:w="306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  <w:t>КОРИГИРАЩИ ДЕЙСТВИЯ</w:t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</w:r>
    </w:p>
    <w:tbl>
      <w:tblPr>
        <w:tblW w:w="981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6210"/>
        <w:gridCol w:w="810"/>
        <w:gridCol w:w="900"/>
        <w:gridCol w:w="1350"/>
      </w:tblGrid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702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/>
            </w:pPr>
            <w:r>
              <w:rPr>
                <w:b/>
                <w:lang w:val="bg-BG"/>
              </w:rPr>
              <w:t>Коригиращи действия</w:t>
            </w:r>
            <w:r>
              <w:rPr>
                <w:b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  <w:lang w:val="bg-BG"/>
              </w:rPr>
            </w:pPr>
            <w:r>
              <w:rPr>
                <w:b/>
                <w:lang w:val="bg-BG"/>
              </w:rPr>
              <w:t>Планирана дата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  <w:p>
            <w:pPr>
              <w:pStyle w:val="Normal"/>
              <w:rPr>
                <w:b/>
                <w:lang w:val="bg-BG"/>
              </w:rPr>
            </w:pPr>
            <w:r>
              <w:rPr>
                <w:b/>
                <w:lang w:val="bg-BG"/>
              </w:rPr>
              <w:t>Отговорност</w:t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702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675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  <w:t>Подпис на Одитирания</w:t>
            </w:r>
          </w:p>
        </w:tc>
        <w:tc>
          <w:tcPr>
            <w:tcW w:w="306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>
          <w:lang w:val="bg-BG"/>
        </w:rPr>
      </w:pPr>
      <w:r>
        <w:rPr>
          <w:lang w:val="bg-BG"/>
        </w:rPr>
      </w:r>
    </w:p>
    <w:tbl>
      <w:tblPr>
        <w:tblW w:w="981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10"/>
      </w:tblGrid>
      <w:tr>
        <w:trPr/>
        <w:tc>
          <w:tcPr>
            <w:tcW w:w="98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  <w:lang w:val="bg-BG"/>
              </w:rPr>
            </w:pPr>
            <w:r>
              <w:rPr>
                <w:b/>
                <w:lang w:val="bg-BG"/>
              </w:rPr>
              <w:t>ПЛАН ЗА ПОСЛЕДВАЩ ОДИТ</w:t>
            </w:r>
          </w:p>
          <w:p>
            <w:pPr>
              <w:pStyle w:val="Normal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  <w:p>
            <w:pPr>
              <w:pStyle w:val="Normal"/>
              <w:rPr/>
            </w:pPr>
            <w:r>
              <w:rPr>
                <w:lang w:val="bg-BG"/>
              </w:rPr>
              <w:t>Дата</w:t>
            </w:r>
            <w:r>
              <w:rPr/>
              <w:t xml:space="preserve"> :  …………………………. </w:t>
            </w:r>
            <w:r>
              <w:rPr>
                <w:lang w:val="bg-BG"/>
              </w:rPr>
              <w:t>От</w:t>
            </w:r>
            <w:r>
              <w:rPr/>
              <w:t>:…………………………………………….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>
                <w:i/>
                <w:lang w:val="bg-BG"/>
              </w:rPr>
            </w:pPr>
            <w:r>
              <w:rPr>
                <w:i/>
              </w:rPr>
              <w:t>Последващ одит</w:t>
            </w:r>
            <w:r>
              <w:rPr>
                <w:i/>
                <w:lang w:val="bg-BG"/>
              </w:rPr>
              <w:t>,</w:t>
            </w:r>
            <w:r>
              <w:rPr>
                <w:i/>
              </w:rPr>
              <w:t xml:space="preserve"> наблюдения на одитора</w:t>
            </w:r>
            <w:r>
              <w:rPr>
                <w:i/>
                <w:lang w:val="bg-BG"/>
              </w:rPr>
              <w:t>,</w:t>
            </w:r>
            <w:r>
              <w:rPr>
                <w:i/>
              </w:rPr>
              <w:t xml:space="preserve"> подпис:</w:t>
            </w:r>
          </w:p>
          <w:p>
            <w:pPr>
              <w:pStyle w:val="Normal"/>
              <w:rPr>
                <w:lang w:val="bg-BG"/>
              </w:rPr>
            </w:pPr>
            <w:r>
              <w:rPr/>
              <w:t>Коригиращи</w:t>
            </w:r>
            <w:r>
              <w:rPr>
                <w:lang w:val="bg-BG"/>
              </w:rPr>
              <w:t>те</w:t>
            </w:r>
            <w:r>
              <w:rPr/>
              <w:t xml:space="preserve"> и превантивни действия бяха счетени за </w:t>
            </w:r>
          </w:p>
          <w:p>
            <w:pPr>
              <w:pStyle w:val="Normal"/>
              <w:rPr/>
            </w:pPr>
            <w:r>
              <w:rPr>
                <w:rFonts w:eastAsia="Wingdings" w:cs="Wingdings" w:ascii="Wingdings" w:hAnsi="Wingdings"/>
              </w:rPr>
              <w:sym w:font="Wingdings" w:char="f0a8"/>
            </w:r>
            <w:r>
              <w:rPr/>
              <w:t xml:space="preserve"> </w:t>
            </w:r>
            <w:r>
              <w:rPr>
                <w:lang w:val="bg-BG"/>
              </w:rPr>
              <w:t>Задоволителни</w:t>
            </w:r>
            <w:r>
              <w:rPr/>
              <w:t xml:space="preserve">  </w:t>
            </w:r>
            <w:r>
              <w:rPr>
                <w:rFonts w:eastAsia="Wingdings" w:cs="Wingdings" w:ascii="Wingdings" w:hAnsi="Wingdings"/>
              </w:rPr>
              <w:sym w:font="Wingdings" w:char="f0a8"/>
            </w:r>
            <w:r>
              <w:rPr/>
              <w:t xml:space="preserve"> </w:t>
            </w:r>
            <w:r>
              <w:rPr>
                <w:lang w:val="bg-BG"/>
              </w:rPr>
              <w:t>Незадоволителни</w:t>
            </w:r>
          </w:p>
          <w:p>
            <w:pPr>
              <w:pStyle w:val="Normal"/>
              <w:rPr/>
            </w:pPr>
            <w:r>
              <w:rPr>
                <w:lang w:val="bg-BG"/>
              </w:rPr>
              <w:t>Забележки</w:t>
            </w:r>
            <w:r>
              <w:rPr/>
              <w:t>: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  <w:t>Подпис и дата</w:t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default" r:id="rId8"/>
      <w:headerReference w:type="first" r:id="rId9"/>
      <w:footerReference w:type="default" r:id="rId10"/>
      <w:footerReference w:type="first" r:id="rId11"/>
      <w:type w:val="nextPage"/>
      <w:pgSz w:w="11906" w:h="16838"/>
      <w:pgMar w:left="1418" w:right="567" w:gutter="0" w:header="709" w:top="2835" w:footer="754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Comic Sans MS">
    <w:charset w:val="00" w:characterSet="windows-1252"/>
    <w:family w:val="script"/>
    <w:pitch w:val="variable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9923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50"/>
      <w:gridCol w:w="1627"/>
      <w:gridCol w:w="2693"/>
      <w:gridCol w:w="1440"/>
      <w:gridCol w:w="2813"/>
    </w:tblGrid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Подпис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</w:rPr>
          </w:pPr>
          <w:r>
            <w:rPr>
              <w:b/>
              <w:i/>
              <w:sz w:val="22"/>
              <w:lang w:val="bg-BG"/>
            </w:rPr>
            <w:t>Док. №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  <w:r>
            <w:rPr>
              <w:b/>
              <w:sz w:val="22"/>
            </w:rPr>
            <w:t>Q</w:t>
          </w:r>
          <w:r>
            <w:rPr>
              <w:b/>
              <w:sz w:val="22"/>
              <w:lang w:val="bg-BG"/>
            </w:rPr>
            <w:t>Е</w:t>
          </w:r>
          <w:r>
            <w:rPr>
              <w:b/>
              <w:sz w:val="22"/>
            </w:rPr>
            <w:t>MR-Q-M-PR-03</w:t>
          </w:r>
        </w:p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Версия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001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Дата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b/>
              <w:i/>
              <w:sz w:val="22"/>
              <w:lang w:val="bg-BG"/>
            </w:rPr>
            <w:t>Дата на утвърждаване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06.02.2023г.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Длъжност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</w:rPr>
          </w:pPr>
          <w:r>
            <w:rPr>
              <w:sz w:val="22"/>
              <w:lang w:val="bg-BG"/>
            </w:rPr>
            <w:t>УПР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Управител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</w:rPr>
          </w:pPr>
          <w:r>
            <w:rPr>
              <w:sz w:val="22"/>
              <w:lang w:val="bg-BG"/>
            </w:rPr>
            <w:t>УПР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 w:eastAsia="en-US"/>
            </w:rPr>
            <w:t>Стр.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eastAsia="en-US"/>
            </w:rPr>
            <w:fldChar w:fldCharType="begin"/>
          </w:r>
          <w:r>
            <w:rPr>
              <w:sz w:val="22"/>
              <w:lang w:eastAsia="en-US"/>
            </w:rPr>
            <w:instrText xml:space="preserve"> PAGE </w:instrText>
          </w:r>
          <w:r>
            <w:rPr>
              <w:sz w:val="22"/>
              <w:lang w:eastAsia="en-US"/>
            </w:rPr>
            <w:fldChar w:fldCharType="separate"/>
          </w:r>
          <w:r>
            <w:rPr>
              <w:sz w:val="22"/>
              <w:lang w:eastAsia="en-US"/>
            </w:rPr>
            <w:t>5</w:t>
          </w:r>
          <w:r>
            <w:rPr>
              <w:sz w:val="22"/>
              <w:lang w:eastAsia="en-US"/>
            </w:rPr>
            <w:fldChar w:fldCharType="end"/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от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8</w:t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9923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50"/>
      <w:gridCol w:w="1627"/>
      <w:gridCol w:w="2693"/>
      <w:gridCol w:w="1440"/>
      <w:gridCol w:w="2813"/>
    </w:tblGrid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Подпис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Док. №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  <w:r>
            <w:rPr>
              <w:b/>
              <w:sz w:val="22"/>
            </w:rPr>
            <w:t>Q</w:t>
          </w:r>
          <w:r>
            <w:rPr>
              <w:b/>
              <w:sz w:val="22"/>
              <w:lang w:val="bg-BG"/>
            </w:rPr>
            <w:t>Е</w:t>
          </w:r>
          <w:r>
            <w:rPr>
              <w:b/>
              <w:sz w:val="22"/>
            </w:rPr>
            <w:t>MR-Q-M-PR-03</w:t>
          </w:r>
        </w:p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Версия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001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Дата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Дата на утвърждаване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</w:p>
        <w:p>
          <w:pPr>
            <w:pStyle w:val="Footer"/>
            <w:rPr/>
          </w:pPr>
          <w:r>
            <w:rPr>
              <w:sz w:val="22"/>
              <w:lang w:val="bg-BG"/>
            </w:rPr>
            <w:t>06.02.2023г.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Длъжност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Управител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sz w:val="22"/>
              <w:lang w:val="bg-BG" w:eastAsia="en-US"/>
            </w:rPr>
            <w:t>Стр.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eastAsia="en-US"/>
            </w:rPr>
            <w:fldChar w:fldCharType="begin"/>
          </w:r>
          <w:r>
            <w:rPr>
              <w:sz w:val="22"/>
              <w:lang w:eastAsia="en-US"/>
            </w:rPr>
            <w:instrText xml:space="preserve"> PAGE </w:instrText>
          </w:r>
          <w:r>
            <w:rPr>
              <w:sz w:val="22"/>
              <w:lang w:eastAsia="en-US"/>
            </w:rPr>
            <w:fldChar w:fldCharType="separate"/>
          </w:r>
          <w:r>
            <w:rPr>
              <w:sz w:val="22"/>
              <w:lang w:eastAsia="en-US"/>
            </w:rPr>
            <w:t>6</w:t>
          </w:r>
          <w:r>
            <w:rPr>
              <w:sz w:val="22"/>
              <w:lang w:eastAsia="en-US"/>
            </w:rPr>
            <w:fldChar w:fldCharType="end"/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от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8</w:t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9923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50"/>
      <w:gridCol w:w="1627"/>
      <w:gridCol w:w="2693"/>
      <w:gridCol w:w="1440"/>
      <w:gridCol w:w="2813"/>
    </w:tblGrid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Подпис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Док. №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  <w:r>
            <w:rPr>
              <w:b/>
              <w:sz w:val="22"/>
            </w:rPr>
            <w:t>Q</w:t>
          </w:r>
          <w:r>
            <w:rPr>
              <w:b/>
              <w:sz w:val="22"/>
              <w:lang w:val="bg-BG"/>
            </w:rPr>
            <w:t>Е</w:t>
          </w:r>
          <w:r>
            <w:rPr>
              <w:b/>
              <w:sz w:val="22"/>
            </w:rPr>
            <w:t>MR-Q-M-PR-03</w:t>
          </w:r>
        </w:p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Версия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001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Дата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Дата на утвърждаване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</w:p>
        <w:p>
          <w:pPr>
            <w:pStyle w:val="Footer"/>
            <w:rPr/>
          </w:pPr>
          <w:r>
            <w:rPr>
              <w:sz w:val="22"/>
              <w:lang w:val="bg-BG"/>
            </w:rPr>
            <w:t>06.02.2023г.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Длъжност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Управител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sz w:val="22"/>
              <w:lang w:val="bg-BG" w:eastAsia="en-US"/>
            </w:rPr>
            <w:t>Стр.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eastAsia="en-US"/>
            </w:rPr>
            <w:fldChar w:fldCharType="begin"/>
          </w:r>
          <w:r>
            <w:rPr>
              <w:sz w:val="22"/>
              <w:lang w:eastAsia="en-US"/>
            </w:rPr>
            <w:instrText xml:space="preserve"> PAGE </w:instrText>
          </w:r>
          <w:r>
            <w:rPr>
              <w:sz w:val="22"/>
              <w:lang w:eastAsia="en-US"/>
            </w:rPr>
            <w:fldChar w:fldCharType="separate"/>
          </w:r>
          <w:r>
            <w:rPr>
              <w:sz w:val="22"/>
              <w:lang w:eastAsia="en-US"/>
            </w:rPr>
            <w:t>8</w:t>
          </w:r>
          <w:r>
            <w:rPr>
              <w:sz w:val="22"/>
              <w:lang w:eastAsia="en-US"/>
            </w:rPr>
            <w:fldChar w:fldCharType="end"/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от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8</w:t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Comic Sans MS" w:hAnsi="Comic Sans MS" w:cs="Comic Sans MS"/>
        <w:b/>
        <w:sz w:val="28"/>
        <w:lang w:val="bg-BG" w:eastAsia="bg-BG"/>
      </w:rPr>
    </w:pPr>
    <w:r>
      <w:rPr>
        <w:rFonts w:cs="Comic Sans MS" w:ascii="Comic Sans MS" w:hAnsi="Comic Sans MS"/>
        <w:b/>
        <w:sz w:val="28"/>
        <w:lang w:val="bg-BG" w:eastAsia="bg-BG"/>
      </w:rPr>
    </w:r>
    <w:r>
      <mc:AlternateContent>
        <mc:Choice Requires="wps">
          <w:drawing>
            <wp:anchor distT="0" distB="0" distL="114935" distR="114935" simplePos="0" relativeHeight="6" behindDoc="1" locked="0" layoutInCell="1" allowOverlap="1">
              <wp:simplePos x="0" y="0"/>
              <wp:positionH relativeFrom="column">
                <wp:posOffset>7620</wp:posOffset>
              </wp:positionH>
              <wp:positionV relativeFrom="paragraph">
                <wp:posOffset>-73660</wp:posOffset>
              </wp:positionV>
              <wp:extent cx="6322060" cy="1260475"/>
              <wp:effectExtent l="0" t="0" r="0" b="0"/>
              <wp:wrapNone/>
              <wp:docPr id="1" name="Рам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22060" cy="1260475"/>
                      </a:xfrm>
                      <a:prstGeom prst="rect"/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tbl>
                          <w:tblPr>
                            <w:tblW w:w="10065" w:type="dxa"/>
                            <w:jc w:val="start"/>
                            <w:tblInd w:w="-34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</w:tblPr>
                          <w:tblGrid>
                            <w:gridCol w:w="10065"/>
                          </w:tblGrid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rFonts w:ascii="Arial" w:hAnsi="Arial" w:cs="Arial"/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„</w:t>
                                </w: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Братя Панчеви“ ООД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sz w:val="32"/>
                                    <w:lang w:val="bg-BG"/>
                                  </w:rPr>
                                  <w:t>ИНТЕГРИРАНА СИСТЕМА ЗА УПРАВЛЕНИЕ НА КАЧЕСТВОТО И ОКОЛНАТА СРЕДА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rPr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b/>
                                    <w:sz w:val="28"/>
                                    <w:lang w:val="bg-BG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  <w:lang w:val="bg-BG"/>
                                  </w:rPr>
                                  <w:t>ПРОЦЕДУРА ЗА ВЪТРЕШЕН ОДИТ ПО ИСУ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1pt" style="position:absolute;rotation:-0;width:497.8pt;height:99.25pt;mso-wrap-distance-left:9.05pt;mso-wrap-distance-right:9.05pt;mso-wrap-distance-top:0pt;mso-wrap-distance-bottom:0pt;margin-top:-5.8pt;mso-position-vertical-relative:text;margin-left:0.6pt;mso-position-horizontal-relative:text">
              <v:textbox>
                <w:txbxContent>
                  <w:tbl>
                    <w:tblPr>
                      <w:tblW w:w="10065" w:type="dxa"/>
                      <w:jc w:val="start"/>
                      <w:tblInd w:w="-34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</w:tblPr>
                    <w:tblGrid>
                      <w:gridCol w:w="10065"/>
                    </w:tblGrid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32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„</w:t>
                          </w: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Братя Панчеви“ ООД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rFonts w:ascii="Arial" w:hAnsi="Arial" w:cs="Arial"/>
                              <w:sz w:val="16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sz w:val="32"/>
                              <w:lang w:val="bg-BG"/>
                            </w:rPr>
                          </w:pPr>
                          <w:r>
                            <w:rPr>
                              <w:sz w:val="32"/>
                              <w:lang w:val="bg-BG"/>
                            </w:rPr>
                            <w:t>ИНТЕГРИРАНА СИСТЕМА ЗА УПРАВЛЕНИЕ НА КАЧЕСТВОТО И ОКОЛНАТА СРЕДА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rPr>
                              <w:sz w:val="16"/>
                              <w:lang w:val="bg-BG"/>
                            </w:rPr>
                          </w:pPr>
                          <w:r>
                            <w:rPr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b/>
                              <w:sz w:val="28"/>
                              <w:lang w:val="bg-BG"/>
                            </w:rPr>
                          </w:pPr>
                          <w:r>
                            <w:rPr>
                              <w:b/>
                              <w:sz w:val="28"/>
                              <w:lang w:val="bg-BG"/>
                            </w:rPr>
                            <w:t>ПРОЦЕДУРА ЗА ВЪТРЕШЕН ОДИТ ПО ИСУ</w:t>
                          </w:r>
                        </w:p>
                      </w:tc>
                    </w:tr>
                  </w:tbl>
                  <w:p>
                    <w:pPr>
                      <w:pStyle w:val="Normal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Comic Sans MS" w:hAnsi="Comic Sans MS" w:cs="Comic Sans MS"/>
        <w:b/>
        <w:sz w:val="28"/>
        <w:lang w:val="bg-BG" w:eastAsia="bg-BG"/>
      </w:rPr>
    </w:pPr>
    <w:r>
      <w:rPr>
        <w:rFonts w:cs="Comic Sans MS" w:ascii="Comic Sans MS" w:hAnsi="Comic Sans MS"/>
        <w:b/>
        <w:sz w:val="28"/>
        <w:lang w:val="bg-BG" w:eastAsia="bg-BG"/>
      </w:rPr>
    </w:r>
    <w:r>
      <mc:AlternateContent>
        <mc:Choice Requires="wps">
          <w:drawing>
            <wp:anchor distT="0" distB="0" distL="114935" distR="114935" simplePos="0" relativeHeight="7" behindDoc="1" locked="0" layoutInCell="1" allowOverlap="1">
              <wp:simplePos x="0" y="0"/>
              <wp:positionH relativeFrom="column">
                <wp:posOffset>7620</wp:posOffset>
              </wp:positionH>
              <wp:positionV relativeFrom="paragraph">
                <wp:posOffset>-73660</wp:posOffset>
              </wp:positionV>
              <wp:extent cx="6322060" cy="1260475"/>
              <wp:effectExtent l="0" t="0" r="0" b="0"/>
              <wp:wrapNone/>
              <wp:docPr id="2" name="Рамка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22060" cy="1260475"/>
                      </a:xfrm>
                      <a:prstGeom prst="rect"/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tbl>
                          <w:tblPr>
                            <w:tblW w:w="10065" w:type="dxa"/>
                            <w:jc w:val="start"/>
                            <w:tblInd w:w="-34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</w:tblPr>
                          <w:tblGrid>
                            <w:gridCol w:w="10065"/>
                          </w:tblGrid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rFonts w:ascii="Arial" w:hAnsi="Arial" w:cs="Arial"/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„</w:t>
                                </w: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Братя Панчеви“ ООД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/>
                                </w:pPr>
                                <w:r>
                                  <w:rPr>
                                    <w:sz w:val="32"/>
                                    <w:lang w:val="bg-BG"/>
                                  </w:rPr>
                                  <w:t>ИНТЕГРИРАНА СИСТЕМА ЗА УПРАВЛЕНИЕ НА КАЧЕСТВОТО И ОКОЛНАТА СРЕДА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rPr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/>
                                </w:pPr>
                                <w:r>
                                  <w:rPr>
                                    <w:b/>
                                    <w:sz w:val="28"/>
                                    <w:lang w:val="bg-BG"/>
                                  </w:rPr>
                                  <w:t>ПРОЦЕДУРА ЗА ВЪТРЕШЕН ОДИТ ПО ИСУ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1pt" style="position:absolute;rotation:-0;width:497.8pt;height:99.25pt;mso-wrap-distance-left:9.05pt;mso-wrap-distance-right:9.05pt;mso-wrap-distance-top:0pt;mso-wrap-distance-bottom:0pt;margin-top:-5.8pt;mso-position-vertical-relative:text;margin-left:0.6pt;mso-position-horizontal-relative:text">
              <v:textbox>
                <w:txbxContent>
                  <w:tbl>
                    <w:tblPr>
                      <w:tblW w:w="10065" w:type="dxa"/>
                      <w:jc w:val="start"/>
                      <w:tblInd w:w="-34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</w:tblPr>
                    <w:tblGrid>
                      <w:gridCol w:w="10065"/>
                    </w:tblGrid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32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„</w:t>
                          </w: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Братя Панчеви“ ООД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rFonts w:ascii="Arial" w:hAnsi="Arial" w:cs="Arial"/>
                              <w:sz w:val="16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/>
                          </w:pPr>
                          <w:r>
                            <w:rPr>
                              <w:sz w:val="32"/>
                              <w:lang w:val="bg-BG"/>
                            </w:rPr>
                            <w:t>ИНТЕГРИРАНА СИСТЕМА ЗА УПРАВЛЕНИЕ НА КАЧЕСТВОТО И ОКОЛНАТА СРЕДА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rPr>
                              <w:sz w:val="16"/>
                              <w:lang w:val="bg-BG"/>
                            </w:rPr>
                          </w:pPr>
                          <w:r>
                            <w:rPr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/>
                          </w:pPr>
                          <w:r>
                            <w:rPr>
                              <w:b/>
                              <w:sz w:val="28"/>
                              <w:lang w:val="bg-BG"/>
                            </w:rPr>
                            <w:t>ПРОЦЕДУРА ЗА ВЪТРЕШЕН ОДИТ ПО ИСУ</w:t>
                          </w:r>
                        </w:p>
                      </w:tc>
                    </w:tr>
                  </w:tbl>
                  <w:p>
                    <w:pPr>
                      <w:pStyle w:val="Normal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Comic Sans MS" w:hAnsi="Comic Sans MS" w:cs="Comic Sans MS"/>
        <w:b/>
        <w:sz w:val="28"/>
        <w:lang w:val="bg-BG" w:eastAsia="bg-BG"/>
      </w:rPr>
    </w:pPr>
    <w:r>
      <w:rPr>
        <w:rFonts w:cs="Comic Sans MS" w:ascii="Comic Sans MS" w:hAnsi="Comic Sans MS"/>
        <w:b/>
        <w:sz w:val="28"/>
        <w:lang w:val="bg-BG" w:eastAsia="bg-BG"/>
      </w:rPr>
    </w:r>
    <w:r>
      <mc:AlternateContent>
        <mc:Choice Requires="wps">
          <w:drawing>
            <wp:anchor distT="0" distB="0" distL="114935" distR="114935" simplePos="0" relativeHeight="9" behindDoc="1" locked="0" layoutInCell="1" allowOverlap="1">
              <wp:simplePos x="0" y="0"/>
              <wp:positionH relativeFrom="column">
                <wp:posOffset>7620</wp:posOffset>
              </wp:positionH>
              <wp:positionV relativeFrom="paragraph">
                <wp:posOffset>-73660</wp:posOffset>
              </wp:positionV>
              <wp:extent cx="6322060" cy="1260475"/>
              <wp:effectExtent l="0" t="0" r="0" b="0"/>
              <wp:wrapNone/>
              <wp:docPr id="3" name="Рамка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22060" cy="1260475"/>
                      </a:xfrm>
                      <a:prstGeom prst="rect"/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tbl>
                          <w:tblPr>
                            <w:tblW w:w="10065" w:type="dxa"/>
                            <w:jc w:val="start"/>
                            <w:tblInd w:w="-34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</w:tblPr>
                          <w:tblGrid>
                            <w:gridCol w:w="10065"/>
                          </w:tblGrid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rFonts w:ascii="Arial" w:hAnsi="Arial" w:cs="Arial"/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„</w:t>
                                </w: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Братя Панчеви“ ООД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/>
                                </w:pPr>
                                <w:r>
                                  <w:rPr>
                                    <w:sz w:val="32"/>
                                    <w:lang w:val="bg-BG"/>
                                  </w:rPr>
                                  <w:t>ИНТЕГРИРАНА СИСТЕМА ЗА УПРАВЛЕНИЕ НА КАЧЕСТВОТО И ОКОЛНАТА СРЕДА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rPr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/>
                                </w:pPr>
                                <w:r>
                                  <w:rPr>
                                    <w:b/>
                                    <w:sz w:val="28"/>
                                    <w:lang w:val="bg-BG"/>
                                  </w:rPr>
                                  <w:t>ПРОЦЕДУРА ЗА ВЪТРЕШЕН ОДИТ ПО ИСУ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1pt" style="position:absolute;rotation:-0;width:497.8pt;height:99.25pt;mso-wrap-distance-left:9.05pt;mso-wrap-distance-right:9.05pt;mso-wrap-distance-top:0pt;mso-wrap-distance-bottom:0pt;margin-top:-5.8pt;mso-position-vertical-relative:text;margin-left:0.6pt;mso-position-horizontal-relative:text">
              <v:textbox>
                <w:txbxContent>
                  <w:tbl>
                    <w:tblPr>
                      <w:tblW w:w="10065" w:type="dxa"/>
                      <w:jc w:val="start"/>
                      <w:tblInd w:w="-34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</w:tblPr>
                    <w:tblGrid>
                      <w:gridCol w:w="10065"/>
                    </w:tblGrid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32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„</w:t>
                          </w: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Братя Панчеви“ ООД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rFonts w:ascii="Arial" w:hAnsi="Arial" w:cs="Arial"/>
                              <w:sz w:val="16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/>
                          </w:pPr>
                          <w:r>
                            <w:rPr>
                              <w:sz w:val="32"/>
                              <w:lang w:val="bg-BG"/>
                            </w:rPr>
                            <w:t>ИНТЕГРИРАНА СИСТЕМА ЗА УПРАВЛЕНИЕ НА КАЧЕСТВОТО И ОКОЛНАТА СРЕДА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rPr>
                              <w:sz w:val="16"/>
                              <w:lang w:val="bg-BG"/>
                            </w:rPr>
                          </w:pPr>
                          <w:r>
                            <w:rPr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/>
                          </w:pPr>
                          <w:r>
                            <w:rPr>
                              <w:b/>
                              <w:sz w:val="28"/>
                              <w:lang w:val="bg-BG"/>
                            </w:rPr>
                            <w:t>ПРОЦЕДУРА ЗА ВЪТРЕШЕН ОДИТ ПО ИСУ</w:t>
                          </w:r>
                        </w:p>
                      </w:tc>
                    </w:tr>
                  </w:tbl>
                  <w:p>
                    <w:pPr>
                      <w:pStyle w:val="Normal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9z0">
    <w:name w:val="WW8Num9z0"/>
    <w:qFormat/>
    <w:rPr>
      <w:u w:val="single"/>
    </w:rPr>
  </w:style>
  <w:style w:type="character" w:styleId="Style14">
    <w:name w:val="Шрифт на абзаца по подразбиране"/>
    <w:qFormat/>
    <w:rPr/>
  </w:style>
  <w:style w:type="character" w:styleId="Style15">
    <w:name w:val="План на документа Знак"/>
    <w:qFormat/>
    <w:rPr>
      <w:rFonts w:ascii="Tahoma" w:hAnsi="Tahoma" w:cs="Tahoma"/>
      <w:sz w:val="16"/>
      <w:szCs w:val="16"/>
      <w:lang w:val="en-US"/>
    </w:rPr>
  </w:style>
  <w:style w:type="paragraph" w:styleId="Style16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sz w:val="22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"/>
    <w:basedOn w:val="Normal"/>
    <w:qFormat/>
    <w:pPr>
      <w:suppressLineNumbers/>
    </w:pPr>
    <w:rPr>
      <w:rFonts w:cs="Arial"/>
    </w:rPr>
  </w:style>
  <w:style w:type="paragraph" w:styleId="Style18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Style19">
    <w:name w:val="План на документа"/>
    <w:basedOn w:val="Normal"/>
    <w:qFormat/>
    <w:pPr/>
    <w:rPr>
      <w:rFonts w:ascii="Tahoma" w:hAnsi="Tahoma" w:cs="Tahoma"/>
      <w:sz w:val="16"/>
      <w:szCs w:val="16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2001-05-17T01:15:00Z</dcterms:created>
  <dc:creator>ws</dc:creator>
  <dc:description/>
  <cp:keywords/>
  <dc:language>bg-BG</dc:language>
  <cp:lastModifiedBy>Nikolay Trayanov</cp:lastModifiedBy>
  <cp:lastPrinted>2001-07-28T01:32:00Z</cp:lastPrinted>
  <dcterms:modified xsi:type="dcterms:W3CDTF">2023-07-11T15:12:00Z</dcterms:modified>
  <cp:revision>74</cp:revision>
  <dc:subject/>
  <dc:title>1</dc:title>
</cp:coreProperties>
</file>