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1.   </w:t>
      </w: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Д</w:t>
      </w:r>
      <w:r>
        <w:rPr>
          <w:sz w:val="22"/>
        </w:rPr>
        <w:t xml:space="preserve">а се гарантира, че </w:t>
      </w:r>
      <w:r>
        <w:rPr>
          <w:sz w:val="22"/>
          <w:lang w:val="bg-BG"/>
        </w:rPr>
        <w:t xml:space="preserve">са предприети </w:t>
      </w:r>
      <w:r>
        <w:rPr>
          <w:sz w:val="22"/>
        </w:rPr>
        <w:t xml:space="preserve">подходящи </w:t>
      </w:r>
      <w:r>
        <w:rPr>
          <w:sz w:val="22"/>
          <w:lang w:val="bg-BG"/>
        </w:rPr>
        <w:t>ефективни коригиращи</w:t>
      </w:r>
      <w:r>
        <w:rPr>
          <w:sz w:val="22"/>
        </w:rPr>
        <w:t xml:space="preserve"> действия върху намирането на </w:t>
      </w:r>
      <w:r>
        <w:rPr>
          <w:sz w:val="22"/>
          <w:lang w:val="bg-BG"/>
        </w:rPr>
        <w:t xml:space="preserve">несъответствията в интегрираната </w:t>
      </w:r>
      <w:r>
        <w:rPr>
          <w:sz w:val="22"/>
        </w:rPr>
        <w:t>систем</w:t>
      </w:r>
      <w:r>
        <w:rPr>
          <w:sz w:val="22"/>
          <w:lang w:val="bg-BG"/>
        </w:rPr>
        <w:t>а</w:t>
      </w:r>
      <w:r>
        <w:rPr>
          <w:sz w:val="22"/>
        </w:rPr>
        <w:t xml:space="preserve"> за </w:t>
      </w:r>
      <w:r>
        <w:rPr>
          <w:sz w:val="22"/>
          <w:lang w:val="bg-BG"/>
        </w:rPr>
        <w:t xml:space="preserve">управление на </w:t>
      </w:r>
      <w:r>
        <w:rPr>
          <w:sz w:val="22"/>
        </w:rPr>
        <w:t>качество</w:t>
      </w:r>
      <w:r>
        <w:rPr>
          <w:sz w:val="22"/>
          <w:lang w:val="bg-BG"/>
        </w:rPr>
        <w:t>то и околната среда</w:t>
      </w:r>
      <w:r>
        <w:rPr>
          <w:sz w:val="22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2.  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>Всички елементи от интегрираната система за управление на качеството и околната среда.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3.   </w:t>
      </w: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color w:val="FF0000"/>
          <w:sz w:val="22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color w:val="FF0000"/>
          <w:sz w:val="22"/>
        </w:rPr>
      </w:pPr>
      <w:r>
        <w:rPr>
          <w:color w:val="FF0000"/>
          <w:sz w:val="22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4.  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: 10.2 : </w:t>
      </w:r>
      <w:r>
        <w:rPr>
          <w:sz w:val="22"/>
          <w:lang w:val="bg-BG"/>
        </w:rPr>
        <w:t>Несъответствия и коригиращи действия.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ab/>
        <w:tab/>
        <w:t xml:space="preserve">    </w:t>
      </w:r>
      <w:r>
        <w:rPr>
          <w:sz w:val="22"/>
        </w:rPr>
        <w:t>ISO</w:t>
      </w:r>
      <w:r>
        <w:rPr>
          <w:sz w:val="22"/>
          <w:lang w:val="bg-BG"/>
        </w:rPr>
        <w:t xml:space="preserve"> 14</w:t>
      </w:r>
      <w:r>
        <w:rPr>
          <w:sz w:val="22"/>
        </w:rPr>
        <w:t>001:2015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5.    </w:t>
      </w:r>
      <w:r>
        <w:rPr>
          <w:b/>
          <w:sz w:val="22"/>
          <w:u w:val="single"/>
          <w:lang w:val="bg-BG"/>
        </w:rPr>
        <w:t>ПРАВОМОЩИЯ И ОТГОВОРНОСТИ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Упълномощен представител на ръководството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УПР</w:t>
      </w:r>
      <w:r>
        <w:rPr>
          <w:sz w:val="22"/>
        </w:rPr>
        <w:t xml:space="preserve"> </w:t>
      </w:r>
      <w:r>
        <w:rPr>
          <w:sz w:val="22"/>
          <w:lang w:val="bg-BG"/>
        </w:rPr>
        <w:t>из</w:t>
      </w:r>
      <w:r>
        <w:rPr>
          <w:sz w:val="22"/>
        </w:rPr>
        <w:t>цяло отговаря за ефективното прилагане на тази процедура.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УПР</w:t>
      </w:r>
      <w:r>
        <w:rPr>
          <w:sz w:val="22"/>
        </w:rPr>
        <w:t xml:space="preserve"> е оторизиран да предоставя средства за изпълнение на </w:t>
      </w:r>
      <w:r>
        <w:rPr>
          <w:sz w:val="22"/>
          <w:lang w:val="bg-BG"/>
        </w:rPr>
        <w:t>к</w:t>
      </w:r>
      <w:r>
        <w:rPr>
          <w:sz w:val="22"/>
        </w:rPr>
        <w:t>оригиращи</w:t>
      </w:r>
      <w:r>
        <w:rPr>
          <w:sz w:val="22"/>
          <w:lang w:val="bg-BG"/>
        </w:rPr>
        <w:t>те</w:t>
      </w:r>
      <w:r>
        <w:rPr>
          <w:sz w:val="22"/>
        </w:rPr>
        <w:t xml:space="preserve"> действия.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Heading1"/>
        <w:ind w:hanging="0" w:start="0"/>
        <w:rPr>
          <w:lang w:val="bg-BG"/>
        </w:rPr>
      </w:pPr>
      <w:r>
        <w:rPr>
          <w:lang w:val="bg-BG"/>
        </w:rPr>
        <w:t>Ръководители на отдели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Те са отговорни за ефективното прилагане на настоящата процедура в съответните отдели.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Те са упълномощени да предоставят ресурси (в рамките на бюджетните ограничения) за прилагане на коригиращи действия.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2"/>
        </w:numPr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</w:rPr>
        <w:t xml:space="preserve">Когато възникне несъответствие, включително произтичащи от жалби, </w:t>
      </w:r>
      <w:r>
        <w:rPr>
          <w:sz w:val="22"/>
          <w:lang w:val="bg-BG"/>
        </w:rPr>
        <w:t>„Братя Панчеви“ ООД: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а) реагира на несъответствието и, ако е приложимо</w:t>
      </w:r>
      <w:r>
        <w:rPr>
          <w:sz w:val="22"/>
          <w:lang w:val="bg-BG"/>
        </w:rPr>
        <w:t>:</w:t>
      </w:r>
    </w:p>
    <w:p>
      <w:pPr>
        <w:pStyle w:val="Normal"/>
        <w:ind w:firstLine="720" w:start="720" w:end="0"/>
        <w:jc w:val="both"/>
        <w:rPr>
          <w:sz w:val="22"/>
          <w:lang w:val="bg-BG"/>
        </w:rPr>
      </w:pPr>
      <w:r>
        <w:rPr>
          <w:sz w:val="22"/>
        </w:rPr>
        <w:t xml:space="preserve">1) да предприемат действия, за да се контролира и да </w:t>
      </w:r>
      <w:r>
        <w:rPr>
          <w:sz w:val="22"/>
          <w:lang w:val="bg-BG"/>
        </w:rPr>
        <w:t>се</w:t>
      </w:r>
      <w:r>
        <w:rPr>
          <w:sz w:val="22"/>
        </w:rPr>
        <w:t xml:space="preserve"> </w:t>
      </w:r>
      <w:r>
        <w:rPr>
          <w:sz w:val="22"/>
          <w:lang w:val="bg-BG"/>
        </w:rPr>
        <w:t>отстрани;</w:t>
      </w:r>
    </w:p>
    <w:p>
      <w:pPr>
        <w:pStyle w:val="Normal"/>
        <w:ind w:firstLine="720" w:start="720" w:end="0"/>
        <w:jc w:val="both"/>
        <w:rPr>
          <w:sz w:val="22"/>
          <w:lang w:val="bg-BG"/>
        </w:rPr>
      </w:pPr>
      <w:r>
        <w:rPr>
          <w:sz w:val="22"/>
        </w:rPr>
        <w:t>2) за справяне с последиците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b) </w:t>
      </w:r>
      <w:r>
        <w:rPr>
          <w:sz w:val="22"/>
          <w:lang w:val="bg-BG"/>
        </w:rPr>
        <w:t xml:space="preserve">прави </w:t>
      </w:r>
      <w:r>
        <w:rPr>
          <w:sz w:val="22"/>
        </w:rPr>
        <w:t>оценка на необходимостта от действия за отстраняване на причината (ите) на несъответствието</w:t>
      </w:r>
      <w:r>
        <w:rPr>
          <w:sz w:val="22"/>
          <w:lang w:val="bg-BG"/>
        </w:rPr>
        <w:t xml:space="preserve">, </w:t>
      </w:r>
      <w:r>
        <w:rPr>
          <w:sz w:val="22"/>
        </w:rPr>
        <w:t>чрез:</w:t>
      </w:r>
    </w:p>
    <w:p>
      <w:pPr>
        <w:pStyle w:val="Normal"/>
        <w:ind w:firstLine="720" w:start="720" w:end="0"/>
        <w:jc w:val="both"/>
        <w:rPr>
          <w:sz w:val="22"/>
          <w:lang w:val="bg-BG"/>
        </w:rPr>
      </w:pPr>
      <w:r>
        <w:rPr>
          <w:sz w:val="22"/>
        </w:rPr>
        <w:t>1) преглед и анализ на несъответствието</w:t>
      </w:r>
      <w:r>
        <w:rPr>
          <w:sz w:val="22"/>
          <w:lang w:val="bg-BG"/>
        </w:rPr>
        <w:t>;</w:t>
      </w:r>
    </w:p>
    <w:p>
      <w:pPr>
        <w:pStyle w:val="Normal"/>
        <w:ind w:firstLine="720" w:start="720" w:end="0"/>
        <w:jc w:val="both"/>
        <w:rPr>
          <w:sz w:val="22"/>
          <w:lang w:val="bg-BG"/>
        </w:rPr>
      </w:pPr>
      <w:r>
        <w:rPr>
          <w:sz w:val="22"/>
        </w:rPr>
        <w:t>2) определяне на причините за несъответствието</w:t>
      </w:r>
      <w:r>
        <w:rPr>
          <w:sz w:val="22"/>
          <w:lang w:val="bg-BG"/>
        </w:rPr>
        <w:t>;</w:t>
      </w:r>
    </w:p>
    <w:p>
      <w:pPr>
        <w:pStyle w:val="Normal"/>
        <w:ind w:firstLine="720" w:start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start="720" w:end="0"/>
        <w:jc w:val="both"/>
        <w:rPr>
          <w:sz w:val="22"/>
          <w:lang w:val="bg-BG"/>
        </w:rPr>
      </w:pPr>
      <w:r>
        <w:rPr>
          <w:sz w:val="22"/>
        </w:rPr>
        <w:t>3) определяне на това дали съществуват подобни несъответствия, или потенциално биха могли да се появят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c) </w:t>
      </w:r>
      <w:r>
        <w:rPr>
          <w:sz w:val="22"/>
          <w:lang w:val="bg-BG"/>
        </w:rPr>
        <w:t xml:space="preserve">определя </w:t>
      </w:r>
      <w:r>
        <w:rPr>
          <w:sz w:val="22"/>
        </w:rPr>
        <w:t xml:space="preserve">изпълнение на всяко </w:t>
      </w:r>
      <w:r>
        <w:rPr>
          <w:sz w:val="22"/>
          <w:lang w:val="bg-BG"/>
        </w:rPr>
        <w:t xml:space="preserve">необходимо </w:t>
      </w:r>
      <w:r>
        <w:rPr>
          <w:sz w:val="22"/>
        </w:rPr>
        <w:t>действие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d) </w:t>
      </w:r>
      <w:r>
        <w:rPr>
          <w:sz w:val="22"/>
          <w:lang w:val="bg-BG"/>
        </w:rPr>
        <w:t xml:space="preserve">прави </w:t>
      </w:r>
      <w:r>
        <w:rPr>
          <w:sz w:val="22"/>
        </w:rPr>
        <w:t xml:space="preserve">преглед на ефективността на всички </w:t>
      </w:r>
      <w:r>
        <w:rPr>
          <w:sz w:val="22"/>
          <w:lang w:val="bg-BG"/>
        </w:rPr>
        <w:t xml:space="preserve">предприети </w:t>
      </w:r>
      <w:r>
        <w:rPr>
          <w:sz w:val="22"/>
        </w:rPr>
        <w:t>коригиращи действия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e) актуализира рискове</w:t>
      </w:r>
      <w:r>
        <w:rPr>
          <w:sz w:val="22"/>
          <w:lang w:val="bg-BG"/>
        </w:rPr>
        <w:t>те</w:t>
      </w:r>
      <w:r>
        <w:rPr>
          <w:sz w:val="22"/>
        </w:rPr>
        <w:t xml:space="preserve"> и възможности</w:t>
      </w:r>
      <w:r>
        <w:rPr>
          <w:sz w:val="22"/>
          <w:lang w:val="bg-BG"/>
        </w:rPr>
        <w:t>те</w:t>
      </w:r>
      <w:r>
        <w:rPr>
          <w:sz w:val="22"/>
        </w:rPr>
        <w:t>, определени по време на планирането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f) прави промени в </w:t>
      </w:r>
      <w:r>
        <w:rPr>
          <w:sz w:val="22"/>
          <w:lang w:val="bg-BG"/>
        </w:rPr>
        <w:t>ИСУ</w:t>
      </w:r>
      <w:r>
        <w:rPr>
          <w:sz w:val="22"/>
        </w:rPr>
        <w:t>, ако е необходимо.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Ние </w:t>
      </w:r>
      <w:r>
        <w:rPr>
          <w:sz w:val="22"/>
          <w:lang w:val="bg-BG"/>
        </w:rPr>
        <w:t>гарантираме</w:t>
      </w:r>
      <w:r>
        <w:rPr>
          <w:sz w:val="22"/>
        </w:rPr>
        <w:t xml:space="preserve">, че предприетите коригиращи действия са подходящи </w:t>
      </w:r>
      <w:r>
        <w:rPr>
          <w:sz w:val="22"/>
          <w:lang w:val="bg-BG"/>
        </w:rPr>
        <w:t>и</w:t>
      </w:r>
      <w:r>
        <w:rPr>
          <w:sz w:val="22"/>
        </w:rPr>
        <w:t xml:space="preserve"> ефектит</w:t>
      </w:r>
      <w:r>
        <w:rPr>
          <w:sz w:val="22"/>
          <w:lang w:val="bg-BG"/>
        </w:rPr>
        <w:t>ивни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Организацията запазва документирана информация като доказателство за: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a) естеството на несъответствията и всички </w:t>
      </w:r>
      <w:r>
        <w:rPr>
          <w:sz w:val="22"/>
          <w:lang w:val="bg-BG"/>
        </w:rPr>
        <w:t xml:space="preserve">предприети </w:t>
      </w:r>
      <w:r>
        <w:rPr>
          <w:sz w:val="22"/>
        </w:rPr>
        <w:t>последващи действия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>b) резултатите от всички коригиращи действия.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390" w:end="0"/>
        <w:jc w:val="both"/>
        <w:rPr>
          <w:sz w:val="22"/>
        </w:rPr>
      </w:pPr>
      <w:r>
        <w:rPr>
          <w:sz w:val="22"/>
          <w:lang w:val="bg-BG"/>
        </w:rPr>
        <w:t>Докладите за о</w:t>
      </w:r>
      <w:r>
        <w:rPr>
          <w:sz w:val="22"/>
        </w:rPr>
        <w:t xml:space="preserve">ткритите несъответствия и предприетите действия се обсъждат в </w:t>
      </w:r>
      <w:r>
        <w:rPr>
          <w:sz w:val="22"/>
          <w:lang w:val="bg-BG"/>
        </w:rPr>
        <w:t>следващото заседание по Преглед на ръководството.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2"/>
        </w:numPr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Поддържат се следните записи: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855"/>
        <w:gridCol w:w="1559"/>
        <w:gridCol w:w="1134"/>
        <w:gridCol w:w="1276"/>
        <w:gridCol w:w="1536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1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start"/>
              <w:rPr>
                <w:lang w:val="bg-BG"/>
              </w:rPr>
            </w:pPr>
            <w:r>
              <w:rPr>
                <w:lang w:val="bg-BG"/>
              </w:rPr>
              <w:t>Доклад за анализ на несъответствията и предприетите действия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</w:t>
            </w:r>
          </w:p>
          <w:p>
            <w:pPr>
              <w:pStyle w:val="BodyText"/>
              <w:ind w:end="-108"/>
              <w:jc w:val="start"/>
              <w:rPr/>
            </w:pPr>
            <w:r>
              <w:rPr>
                <w:lang w:val="bg-BG"/>
              </w:rPr>
              <w:t>Текст</w:t>
            </w:r>
            <w:r>
              <w:rPr/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Електронно/ 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/>
            </w:pPr>
            <w:r>
              <w:rPr>
                <w:lang w:val="bg-BG"/>
              </w:rPr>
              <w:t>Ръководители на отдели</w:t>
            </w:r>
            <w:r>
              <w:rPr/>
              <w:t xml:space="preserve"> 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2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start"/>
              <w:rPr>
                <w:lang w:val="bg-BG"/>
              </w:rPr>
            </w:pPr>
            <w:r>
              <w:rPr>
                <w:lang w:val="bg-BG"/>
              </w:rPr>
              <w:t>Доклад за проследяване на предприетите коригиращи действия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</w:t>
            </w:r>
          </w:p>
          <w:p>
            <w:pPr>
              <w:pStyle w:val="BodyText"/>
              <w:ind w:end="-108"/>
              <w:jc w:val="start"/>
              <w:rPr/>
            </w:pPr>
            <w:r>
              <w:rPr>
                <w:lang w:val="bg-BG"/>
              </w:rPr>
              <w:t>Текст</w:t>
            </w:r>
            <w:r>
              <w:rPr/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Електронно/ 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Ръководители на отдели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rFonts w:ascii="Arial Narrow" w:hAnsi="Arial Narrow" w:cs="Arial Narrow"/>
          <w:sz w:val="22"/>
        </w:rPr>
      </w:pPr>
      <w:r>
        <w:rPr>
          <w:rFonts w:cs="Arial Narrow" w:ascii="Arial Narrow" w:hAnsi="Arial Narrow"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</w:rPr>
        <w:t xml:space="preserve">8.  </w:t>
      </w: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  <w:lang w:val="bg-BG"/>
              </w:rPr>
              <w:t>УПР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V-001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708" w:top="2610" w:footer="671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 Narrow">
    <w:charset w:val="00" w:characterSet="windows-1252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MR-Q-M-PR-04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2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2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3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-65405</wp:posOffset>
              </wp:positionV>
              <wp:extent cx="6318250" cy="1317625"/>
              <wp:effectExtent l="0" t="0" r="0" b="0"/>
              <wp:wrapNone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317625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lang w:val="bg-BG"/>
                                  </w:rPr>
                                  <w:t>ПРОЦЕДУРА ЗА НЕСЪОТВЕТСТВИЯ И КОРИГИРАЩИ ДЕЙСТВИЯ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3.75pt;mso-wrap-distance-left:9.05pt;mso-wrap-distance-right:9.05pt;mso-wrap-distance-top:0pt;mso-wrap-distance-bottom:0pt;margin-top:-5.1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lang w:val="bg-BG"/>
                            </w:rPr>
                          </w:pPr>
                          <w:r>
                            <w:rPr>
                              <w:b/>
                              <w:lang w:val="bg-BG"/>
                            </w:rPr>
                            <w:t>ПРОЦЕДУРА ЗА НЕСЪОТВЕТСТВИЯ И КОРИГИРАЩИ ДЕЙСТВИЯ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6"/>
      <w:numFmt w:val="decimal"/>
      <w:lvlText w:val="%1."/>
      <w:lvlJc w:val="start"/>
      <w:pPr>
        <w:tabs>
          <w:tab w:val="num" w:pos="390"/>
        </w:tabs>
        <w:ind w:start="390" w:hanging="39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sz w:val="22"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u w:val="single"/>
    </w:rPr>
  </w:style>
  <w:style w:type="character" w:styleId="Style13">
    <w:name w:val="Шрифт на абзаца по подразбиране"/>
    <w:qFormat/>
    <w:rPr/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2"/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2001-06-13T01:40:00Z</dcterms:created>
  <dc:creator>ws</dc:creator>
  <dc:description/>
  <cp:keywords/>
  <dc:language>bg-BG</dc:language>
  <cp:lastModifiedBy>Nikolay Trayanov</cp:lastModifiedBy>
  <cp:lastPrinted>2002-06-04T03:09:00Z</cp:lastPrinted>
  <dcterms:modified xsi:type="dcterms:W3CDTF">2023-07-11T14:45:00Z</dcterms:modified>
  <cp:revision>55</cp:revision>
  <dc:subject/>
  <dc:title>1</dc:title>
</cp:coreProperties>
</file>