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rPr>
          <w:b/>
          <w:sz w:val="22"/>
        </w:rPr>
      </w:pP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  <w:r>
        <w:rPr>
          <w:b/>
          <w:sz w:val="22"/>
        </w:rPr>
        <w:t xml:space="preserve"> 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  <w:lang w:val="bg-BG"/>
        </w:rPr>
        <w:t>Д</w:t>
      </w:r>
      <w:r>
        <w:rPr>
          <w:sz w:val="22"/>
        </w:rPr>
        <w:t>а се създаде, внедри и поддържа система за идентифициране и отговаря</w:t>
      </w:r>
      <w:r>
        <w:rPr>
          <w:sz w:val="22"/>
          <w:lang w:val="bg-BG"/>
        </w:rPr>
        <w:t>не</w:t>
      </w:r>
      <w:r>
        <w:rPr>
          <w:sz w:val="22"/>
        </w:rPr>
        <w:t xml:space="preserve"> на приложимите правни и други задължения, свързани с околната среда.</w:t>
      </w:r>
    </w:p>
    <w:p>
      <w:pPr>
        <w:pStyle w:val="Normal"/>
        <w:jc w:val="both"/>
        <w:rPr>
          <w:rFonts w:ascii="TimesNewRoman;Times New Roman" w:hAnsi="TimesNewRoman;Times New Roman" w:cs="TimesNewRoman;Times New Roman"/>
          <w:sz w:val="22"/>
          <w:lang w:val="bg-BG" w:eastAsia="en-US"/>
        </w:rPr>
      </w:pPr>
      <w:r>
        <w:rPr>
          <w:rFonts w:cs="TimesNewRoman;Times New Roman" w:ascii="TimesNewRoman;Times New Roman" w:hAnsi="TimesNewRoman;Times New Roman"/>
          <w:sz w:val="22"/>
          <w:lang w:val="bg-BG" w:eastAsia="en-US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  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>Всички дейности, продукти и услуги, на организацията.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3.  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  <w:u w:val="single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b/>
          <w:color w:val="FF0000"/>
          <w:sz w:val="22"/>
          <w:u w:val="single"/>
        </w:rPr>
      </w:pPr>
      <w:r>
        <w:rPr>
          <w:b/>
          <w:color w:val="FF0000"/>
          <w:sz w:val="22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 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>ISO</w:t>
      </w:r>
      <w:r>
        <w:rPr>
          <w:sz w:val="22"/>
          <w:lang w:val="bg-BG"/>
        </w:rPr>
        <w:t>9</w:t>
      </w:r>
      <w:r>
        <w:rPr>
          <w:sz w:val="22"/>
        </w:rPr>
        <w:t xml:space="preserve">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6.1.3: </w:t>
      </w:r>
      <w:r>
        <w:rPr>
          <w:sz w:val="22"/>
          <w:lang w:val="bg-BG"/>
        </w:rPr>
        <w:t>Спазване на задължения</w:t>
      </w:r>
    </w:p>
    <w:p>
      <w:pPr>
        <w:pStyle w:val="Normal"/>
        <w:rPr/>
      </w:pPr>
      <w:r>
        <w:rPr>
          <w:sz w:val="22"/>
        </w:rPr>
        <w:t xml:space="preserve">                        </w:t>
      </w:r>
      <w:r>
        <w:rPr>
          <w:sz w:val="22"/>
          <w:lang w:val="bg-BG"/>
        </w:rPr>
        <w:t xml:space="preserve">   </w:t>
      </w:r>
      <w:r>
        <w:rPr>
          <w:sz w:val="22"/>
        </w:rPr>
        <w:t xml:space="preserve">   </w:t>
      </w:r>
      <w:r>
        <w:rPr>
          <w:sz w:val="22"/>
        </w:rPr>
        <w:t xml:space="preserve">ISO14001:2015            </w:t>
      </w:r>
      <w:r>
        <w:rPr>
          <w:sz w:val="22"/>
          <w:lang w:val="bg-BG"/>
        </w:rPr>
        <w:t xml:space="preserve">  </w:t>
      </w:r>
      <w:r>
        <w:rPr>
          <w:sz w:val="22"/>
        </w:rPr>
        <w:t xml:space="preserve"> 9.1.2: </w:t>
      </w:r>
      <w:r>
        <w:rPr>
          <w:sz w:val="22"/>
          <w:lang w:val="bg-BG"/>
        </w:rPr>
        <w:t>Оценяване на съответствието</w:t>
      </w:r>
      <w:r>
        <w:rPr>
          <w:sz w:val="22"/>
        </w:rPr>
        <w:t xml:space="preserve">     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Упълномощен представител на ръководството</w:t>
      </w:r>
    </w:p>
    <w:p>
      <w:pPr>
        <w:pStyle w:val="Normal"/>
        <w:ind w:firstLine="720" w:end="0"/>
        <w:jc w:val="both"/>
        <w:rPr>
          <w:sz w:val="22"/>
          <w:u w:val="single"/>
          <w:lang w:val="bg-BG"/>
        </w:rPr>
      </w:pPr>
      <w:r>
        <w:rPr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УПР</w:t>
      </w:r>
      <w:r>
        <w:rPr>
          <w:sz w:val="22"/>
        </w:rPr>
        <w:t xml:space="preserve"> е отговорен</w:t>
      </w:r>
      <w:r>
        <w:rPr>
          <w:sz w:val="22"/>
          <w:lang w:val="bg-BG"/>
        </w:rPr>
        <w:t xml:space="preserve"> за </w:t>
      </w:r>
      <w:r>
        <w:rPr>
          <w:sz w:val="22"/>
        </w:rPr>
        <w:t>ефективното прилагане на тази процедура в цялата организация.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Той / тя е упълномощен</w:t>
      </w:r>
      <w:r>
        <w:rPr>
          <w:sz w:val="22"/>
          <w:lang w:val="bg-BG"/>
        </w:rPr>
        <w:t>/</w:t>
      </w:r>
      <w:r>
        <w:rPr>
          <w:sz w:val="22"/>
        </w:rPr>
        <w:t>а да предоставя средства за достъп до информация, свързана с</w:t>
      </w:r>
      <w:r>
        <w:rPr>
          <w:sz w:val="22"/>
          <w:lang w:val="bg-BG"/>
        </w:rPr>
        <w:t>ъс</w:t>
      </w:r>
      <w:r>
        <w:rPr>
          <w:sz w:val="22"/>
        </w:rPr>
        <w:t xml:space="preserve"> спазване на задълженията.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6.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  <w:t>Спазване на задълженията</w:t>
      </w:r>
    </w:p>
    <w:p>
      <w:pPr>
        <w:pStyle w:val="Normal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Нашата организация</w:t>
      </w:r>
      <w:r>
        <w:rPr>
          <w:sz w:val="22"/>
          <w:lang w:val="bg-BG" w:eastAsia="en-US"/>
        </w:rPr>
        <w:t>: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>a) определя и има достъп до задълженията за спазване на изискванията, свързани с екологичните аспекти;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b) определя как спазване</w:t>
      </w:r>
      <w:r>
        <w:rPr>
          <w:sz w:val="22"/>
          <w:lang w:val="bg-BG" w:eastAsia="en-US"/>
        </w:rPr>
        <w:t>то</w:t>
      </w:r>
      <w:r>
        <w:rPr>
          <w:sz w:val="22"/>
          <w:lang w:eastAsia="en-US"/>
        </w:rPr>
        <w:t xml:space="preserve"> на </w:t>
      </w:r>
      <w:r>
        <w:rPr>
          <w:sz w:val="22"/>
          <w:lang w:val="bg-BG" w:eastAsia="en-US"/>
        </w:rPr>
        <w:t xml:space="preserve">тези </w:t>
      </w:r>
      <w:r>
        <w:rPr>
          <w:sz w:val="22"/>
          <w:lang w:eastAsia="en-US"/>
        </w:rPr>
        <w:t xml:space="preserve">задълженията се прилагат </w:t>
      </w:r>
      <w:r>
        <w:rPr>
          <w:sz w:val="22"/>
          <w:lang w:val="bg-BG" w:eastAsia="en-US"/>
        </w:rPr>
        <w:t>в</w:t>
      </w:r>
      <w:r>
        <w:rPr>
          <w:sz w:val="22"/>
          <w:lang w:eastAsia="en-US"/>
        </w:rPr>
        <w:t xml:space="preserve"> организацията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c) взема спазване</w:t>
      </w:r>
      <w:r>
        <w:rPr>
          <w:sz w:val="22"/>
          <w:lang w:val="bg-BG" w:eastAsia="en-US"/>
        </w:rPr>
        <w:t>то</w:t>
      </w:r>
      <w:r>
        <w:rPr>
          <w:sz w:val="22"/>
          <w:lang w:eastAsia="en-US"/>
        </w:rPr>
        <w:t xml:space="preserve"> на </w:t>
      </w:r>
      <w:r>
        <w:rPr>
          <w:sz w:val="22"/>
          <w:lang w:val="bg-BG" w:eastAsia="en-US"/>
        </w:rPr>
        <w:t xml:space="preserve">тези </w:t>
      </w:r>
      <w:r>
        <w:rPr>
          <w:sz w:val="22"/>
          <w:lang w:eastAsia="en-US"/>
        </w:rPr>
        <w:t>задълженията под внимание при създаването, прилагането, поддържането и непрекъснато подобряване на системата за управление на околната среда.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 w:eastAsia="en-US"/>
        </w:rPr>
        <w:t>С</w:t>
      </w:r>
      <w:r>
        <w:rPr>
          <w:sz w:val="22"/>
          <w:lang w:eastAsia="en-US"/>
        </w:rPr>
        <w:t>пазване на задълженията може да доведе до рискове и възможности за организацията.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val="bg-BG" w:eastAsia="en-US"/>
        </w:rPr>
        <w:t>Нашата организация води и съхранява</w:t>
      </w:r>
      <w:r>
        <w:rPr>
          <w:sz w:val="22"/>
          <w:lang w:eastAsia="en-US"/>
        </w:rPr>
        <w:t xml:space="preserve"> документирана информация за задълженията за привеждане в съответствие.</w:t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jc w:val="both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  <w:t>Оценяване на съответствието</w:t>
      </w:r>
    </w:p>
    <w:p>
      <w:pPr>
        <w:pStyle w:val="Normal"/>
        <w:ind w:firstLine="720" w:end="0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Нашата организация е създа</w:t>
      </w:r>
      <w:r>
        <w:rPr>
          <w:sz w:val="22"/>
          <w:lang w:val="bg-BG" w:eastAsia="en-US"/>
        </w:rPr>
        <w:t>ла</w:t>
      </w:r>
      <w:r>
        <w:rPr>
          <w:sz w:val="22"/>
          <w:lang w:eastAsia="en-US"/>
        </w:rPr>
        <w:t>, внедр</w:t>
      </w:r>
      <w:r>
        <w:rPr>
          <w:sz w:val="22"/>
          <w:lang w:val="bg-BG" w:eastAsia="en-US"/>
        </w:rPr>
        <w:t>ила</w:t>
      </w:r>
      <w:r>
        <w:rPr>
          <w:sz w:val="22"/>
          <w:lang w:eastAsia="en-US"/>
        </w:rPr>
        <w:t xml:space="preserve"> и поддържа</w:t>
      </w:r>
      <w:r>
        <w:rPr>
          <w:sz w:val="22"/>
          <w:lang w:val="bg-BG" w:eastAsia="en-US"/>
        </w:rPr>
        <w:t xml:space="preserve"> система</w:t>
      </w:r>
      <w:r>
        <w:rPr>
          <w:sz w:val="22"/>
          <w:lang w:eastAsia="en-US"/>
        </w:rPr>
        <w:t xml:space="preserve"> на процесите, необходими, за да се оцени изпълнението </w:t>
      </w:r>
      <w:r>
        <w:rPr>
          <w:sz w:val="22"/>
          <w:lang w:val="bg-BG" w:eastAsia="en-US"/>
        </w:rPr>
        <w:t xml:space="preserve">на </w:t>
      </w:r>
      <w:r>
        <w:rPr>
          <w:sz w:val="22"/>
          <w:lang w:eastAsia="en-US"/>
        </w:rPr>
        <w:t>задължения</w:t>
      </w:r>
      <w:r>
        <w:rPr>
          <w:sz w:val="22"/>
          <w:lang w:val="bg-BG" w:eastAsia="en-US"/>
        </w:rPr>
        <w:t>та</w:t>
      </w:r>
      <w:r>
        <w:rPr>
          <w:sz w:val="22"/>
          <w:lang w:eastAsia="en-US"/>
        </w:rPr>
        <w:t xml:space="preserve"> за спазване на изискванията.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Организацията</w:t>
      </w:r>
      <w:r>
        <w:rPr>
          <w:sz w:val="22"/>
          <w:lang w:val="bg-BG" w:eastAsia="en-US"/>
        </w:rPr>
        <w:t>: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a) е определена честотата</w:t>
      </w:r>
      <w:r>
        <w:rPr>
          <w:sz w:val="22"/>
          <w:lang w:val="bg-BG" w:eastAsia="en-US"/>
        </w:rPr>
        <w:t xml:space="preserve"> на процесите</w:t>
      </w:r>
      <w:r>
        <w:rPr>
          <w:sz w:val="22"/>
          <w:lang w:eastAsia="en-US"/>
        </w:rPr>
        <w:t>,</w:t>
      </w:r>
      <w:r>
        <w:rPr>
          <w:sz w:val="22"/>
          <w:lang w:val="bg-BG" w:eastAsia="en-US"/>
        </w:rPr>
        <w:t xml:space="preserve"> които</w:t>
      </w:r>
      <w:r>
        <w:rPr>
          <w:sz w:val="22"/>
          <w:lang w:eastAsia="en-US"/>
        </w:rPr>
        <w:t xml:space="preserve"> ще бъдат оценявани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b) </w:t>
      </w:r>
      <w:r>
        <w:rPr>
          <w:sz w:val="22"/>
          <w:lang w:val="bg-BG" w:eastAsia="en-US"/>
        </w:rPr>
        <w:t>проверява</w:t>
      </w:r>
      <w:r>
        <w:rPr>
          <w:sz w:val="22"/>
          <w:lang w:eastAsia="en-US"/>
        </w:rPr>
        <w:t xml:space="preserve"> съответствие</w:t>
      </w:r>
      <w:r>
        <w:rPr>
          <w:sz w:val="22"/>
          <w:lang w:val="bg-BG" w:eastAsia="en-US"/>
        </w:rPr>
        <w:t>то</w:t>
      </w:r>
      <w:r>
        <w:rPr>
          <w:sz w:val="22"/>
          <w:lang w:eastAsia="en-US"/>
        </w:rPr>
        <w:t xml:space="preserve"> и предприем</w:t>
      </w:r>
      <w:r>
        <w:rPr>
          <w:sz w:val="22"/>
          <w:lang w:val="bg-BG" w:eastAsia="en-US"/>
        </w:rPr>
        <w:t>а</w:t>
      </w:r>
      <w:r>
        <w:rPr>
          <w:sz w:val="22"/>
          <w:lang w:eastAsia="en-US"/>
        </w:rPr>
        <w:t xml:space="preserve"> действия, ако е необходимо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в) поддържа </w:t>
      </w:r>
      <w:r>
        <w:rPr>
          <w:sz w:val="22"/>
          <w:lang w:val="bg-BG" w:eastAsia="en-US"/>
        </w:rPr>
        <w:t>информация за</w:t>
      </w:r>
      <w:r>
        <w:rPr>
          <w:sz w:val="22"/>
          <w:lang w:eastAsia="en-US"/>
        </w:rPr>
        <w:t xml:space="preserve"> съответствие</w:t>
      </w:r>
      <w:r>
        <w:rPr>
          <w:sz w:val="22"/>
          <w:lang w:val="bg-BG" w:eastAsia="en-US"/>
        </w:rPr>
        <w:t>то</w:t>
      </w:r>
      <w:r>
        <w:rPr>
          <w:sz w:val="22"/>
          <w:lang w:eastAsia="en-US"/>
        </w:rPr>
        <w:t>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  <w:t>Организацията съхранява</w:t>
      </w:r>
      <w:r>
        <w:rPr>
          <w:sz w:val="22"/>
          <w:lang w:eastAsia="en-US"/>
        </w:rPr>
        <w:t xml:space="preserve"> документирана информация като доказателство за резултатите от оценката на съответствието.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  <w:t>Д</w:t>
      </w:r>
      <w:r>
        <w:rPr>
          <w:b/>
          <w:sz w:val="22"/>
          <w:u w:val="single"/>
          <w:lang w:eastAsia="en-US"/>
        </w:rPr>
        <w:t>етайли на процедурата:</w:t>
      </w:r>
    </w:p>
    <w:p>
      <w:pPr>
        <w:pStyle w:val="Normal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Нашата организация гарантира, че приложимите задълженията се вземат предвид при създаването, прилагането, поддържането и непрекъснато подобряване на </w:t>
      </w:r>
      <w:r>
        <w:rPr>
          <w:sz w:val="22"/>
          <w:lang w:val="bg-BG" w:eastAsia="en-US"/>
        </w:rPr>
        <w:t>ИСУ.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За да се постигне това, </w:t>
      </w:r>
      <w:r>
        <w:rPr>
          <w:sz w:val="22"/>
          <w:lang w:val="bg-BG" w:eastAsia="en-US"/>
        </w:rPr>
        <w:t xml:space="preserve">Организацията </w:t>
      </w:r>
      <w:r>
        <w:rPr>
          <w:sz w:val="22"/>
          <w:lang w:eastAsia="en-US"/>
        </w:rPr>
        <w:t>определ</w:t>
      </w:r>
      <w:r>
        <w:rPr>
          <w:sz w:val="22"/>
          <w:lang w:val="bg-BG" w:eastAsia="en-US"/>
        </w:rPr>
        <w:t>я</w:t>
      </w:r>
      <w:r>
        <w:rPr>
          <w:sz w:val="22"/>
          <w:lang w:eastAsia="en-US"/>
        </w:rPr>
        <w:t xml:space="preserve"> приложимите задълженията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eastAsia="en-US"/>
        </w:rPr>
        <w:t>6.а. Идентификация на изискванията</w:t>
      </w:r>
    </w:p>
    <w:p>
      <w:pPr>
        <w:pStyle w:val="Normal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  <w:t xml:space="preserve">УПР набавя </w:t>
      </w:r>
      <w:r>
        <w:rPr>
          <w:sz w:val="22"/>
          <w:lang w:eastAsia="en-US"/>
        </w:rPr>
        <w:t>различни източници, за да се идентифицират</w:t>
      </w:r>
      <w:r>
        <w:rPr>
          <w:sz w:val="22"/>
          <w:lang w:val="bg-BG" w:eastAsia="en-US"/>
        </w:rPr>
        <w:t xml:space="preserve"> </w:t>
      </w:r>
      <w:r>
        <w:rPr>
          <w:sz w:val="22"/>
          <w:lang w:eastAsia="en-US"/>
        </w:rPr>
        <w:t xml:space="preserve">приложимите задължения и </w:t>
      </w:r>
      <w:r>
        <w:rPr>
          <w:sz w:val="22"/>
          <w:lang w:val="bg-BG" w:eastAsia="en-US"/>
        </w:rPr>
        <w:t xml:space="preserve">за да се </w:t>
      </w:r>
      <w:r>
        <w:rPr>
          <w:sz w:val="22"/>
          <w:lang w:eastAsia="en-US"/>
        </w:rPr>
        <w:t>поддържа актуална информация относно спазване</w:t>
      </w:r>
      <w:r>
        <w:rPr>
          <w:sz w:val="22"/>
          <w:lang w:val="bg-BG" w:eastAsia="en-US"/>
        </w:rPr>
        <w:t>то</w:t>
      </w:r>
      <w:r>
        <w:rPr>
          <w:sz w:val="22"/>
          <w:lang w:eastAsia="en-US"/>
        </w:rPr>
        <w:t xml:space="preserve"> на изискванията (правни и</w:t>
      </w:r>
      <w:r>
        <w:rPr>
          <w:sz w:val="22"/>
          <w:lang w:val="bg-BG" w:eastAsia="en-US"/>
        </w:rPr>
        <w:t>ли</w:t>
      </w:r>
      <w:r>
        <w:rPr>
          <w:sz w:val="22"/>
          <w:lang w:eastAsia="en-US"/>
        </w:rPr>
        <w:t xml:space="preserve"> други изисквания).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Някои от тези източници включва</w:t>
      </w:r>
      <w:r>
        <w:rPr>
          <w:sz w:val="22"/>
          <w:lang w:val="bg-BG" w:eastAsia="en-US"/>
        </w:rPr>
        <w:t>: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Всички нива на управление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Индустриални асоциации или търговски групи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Търговски бази данни и публикации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Професионални консултанти и услуги.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  <w:t>П</w:t>
      </w:r>
      <w:r>
        <w:rPr>
          <w:b/>
          <w:sz w:val="22"/>
          <w:u w:val="single"/>
          <w:lang w:eastAsia="en-US"/>
        </w:rPr>
        <w:t>равни задължения</w:t>
      </w:r>
    </w:p>
    <w:p>
      <w:pPr>
        <w:pStyle w:val="Normal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Те с</w:t>
      </w:r>
      <w:r>
        <w:rPr>
          <w:sz w:val="22"/>
          <w:lang w:val="bg-BG" w:eastAsia="en-US"/>
        </w:rPr>
        <w:t>а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 xml:space="preserve">изключително важни и се </w:t>
      </w:r>
      <w:r>
        <w:rPr>
          <w:sz w:val="22"/>
          <w:lang w:eastAsia="en-US"/>
        </w:rPr>
        <w:t>отнасят до изискван</w:t>
      </w:r>
      <w:r>
        <w:rPr>
          <w:sz w:val="22"/>
          <w:lang w:val="bg-BG" w:eastAsia="en-US"/>
        </w:rPr>
        <w:t>ията,</w:t>
      </w:r>
      <w:r>
        <w:rPr>
          <w:sz w:val="22"/>
          <w:lang w:eastAsia="en-US"/>
        </w:rPr>
        <w:t xml:space="preserve"> задължени</w:t>
      </w:r>
      <w:r>
        <w:rPr>
          <w:sz w:val="22"/>
          <w:lang w:val="bg-BG" w:eastAsia="en-US"/>
        </w:rPr>
        <w:t>ята</w:t>
      </w:r>
      <w:r>
        <w:rPr>
          <w:sz w:val="22"/>
          <w:lang w:eastAsia="en-US"/>
        </w:rPr>
        <w:t xml:space="preserve"> или разрешени</w:t>
      </w:r>
      <w:r>
        <w:rPr>
          <w:sz w:val="22"/>
          <w:lang w:val="bg-BG" w:eastAsia="en-US"/>
        </w:rPr>
        <w:t>ята</w:t>
      </w:r>
      <w:r>
        <w:rPr>
          <w:sz w:val="22"/>
          <w:lang w:eastAsia="en-US"/>
        </w:rPr>
        <w:t>, ко</w:t>
      </w:r>
      <w:r>
        <w:rPr>
          <w:sz w:val="22"/>
          <w:lang w:val="bg-BG" w:eastAsia="en-US"/>
        </w:rPr>
        <w:t>и</w:t>
      </w:r>
      <w:r>
        <w:rPr>
          <w:sz w:val="22"/>
          <w:lang w:eastAsia="en-US"/>
        </w:rPr>
        <w:t xml:space="preserve">то </w:t>
      </w:r>
      <w:r>
        <w:rPr>
          <w:sz w:val="22"/>
          <w:lang w:val="bg-BG" w:eastAsia="en-US"/>
        </w:rPr>
        <w:t>са</w:t>
      </w:r>
      <w:r>
        <w:rPr>
          <w:sz w:val="22"/>
          <w:lang w:eastAsia="en-US"/>
        </w:rPr>
        <w:t xml:space="preserve"> свързан</w:t>
      </w:r>
      <w:r>
        <w:rPr>
          <w:sz w:val="22"/>
          <w:lang w:val="bg-BG" w:eastAsia="en-US"/>
        </w:rPr>
        <w:t>и</w:t>
      </w:r>
      <w:r>
        <w:rPr>
          <w:sz w:val="22"/>
          <w:lang w:eastAsia="en-US"/>
        </w:rPr>
        <w:t xml:space="preserve"> с екологичните аспекти на дадена организация</w:t>
      </w:r>
      <w:r>
        <w:rPr>
          <w:sz w:val="22"/>
          <w:lang w:val="bg-BG" w:eastAsia="en-US"/>
        </w:rPr>
        <w:t xml:space="preserve">. Те се издават от </w:t>
      </w:r>
      <w:r>
        <w:rPr>
          <w:sz w:val="22"/>
          <w:lang w:eastAsia="en-US"/>
        </w:rPr>
        <w:t>държавен орган (включително международни, национални, щатски / провинциални и местни власти) и има</w:t>
      </w:r>
      <w:r>
        <w:rPr>
          <w:sz w:val="22"/>
          <w:lang w:val="bg-BG" w:eastAsia="en-US"/>
        </w:rPr>
        <w:t>т</w:t>
      </w:r>
      <w:r>
        <w:rPr>
          <w:sz w:val="22"/>
          <w:lang w:eastAsia="en-US"/>
        </w:rPr>
        <w:t xml:space="preserve"> правна сила.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Законови изисквания биха могли да бъдат </w:t>
      </w:r>
      <w:r>
        <w:rPr>
          <w:sz w:val="22"/>
          <w:lang w:val="bg-BG" w:eastAsia="en-US"/>
        </w:rPr>
        <w:t>под формата на: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Законодателство, включително наредби и регламенти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</w:t>
      </w:r>
      <w:r>
        <w:rPr>
          <w:sz w:val="22"/>
          <w:lang w:val="bg-BG" w:eastAsia="en-US"/>
        </w:rPr>
        <w:t>П</w:t>
      </w:r>
      <w:r>
        <w:rPr>
          <w:sz w:val="22"/>
          <w:lang w:eastAsia="en-US"/>
        </w:rPr>
        <w:t>остановления и директиви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Разрешения, лицензи или други форми на разрешение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</w:t>
      </w:r>
      <w:r>
        <w:rPr>
          <w:sz w:val="22"/>
          <w:lang w:val="bg-BG" w:eastAsia="en-US"/>
        </w:rPr>
        <w:t>З</w:t>
      </w:r>
      <w:r>
        <w:rPr>
          <w:sz w:val="22"/>
          <w:lang w:eastAsia="en-US"/>
        </w:rPr>
        <w:t>аповеди, издадени от регулаторните агенции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Решенията на съдилищата или административните съдилища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 xml:space="preserve">- </w:t>
      </w:r>
      <w:r>
        <w:rPr>
          <w:sz w:val="22"/>
          <w:lang w:val="bg-BG" w:eastAsia="en-US"/>
        </w:rPr>
        <w:t>Национални</w:t>
      </w:r>
      <w:r>
        <w:rPr>
          <w:sz w:val="22"/>
          <w:lang w:eastAsia="en-US"/>
        </w:rPr>
        <w:t xml:space="preserve"> или мест</w:t>
      </w:r>
      <w:r>
        <w:rPr>
          <w:sz w:val="22"/>
          <w:lang w:val="bg-BG" w:eastAsia="en-US"/>
        </w:rPr>
        <w:t>ни</w:t>
      </w:r>
      <w:r>
        <w:rPr>
          <w:sz w:val="22"/>
          <w:lang w:eastAsia="en-US"/>
        </w:rPr>
        <w:t xml:space="preserve"> закон</w:t>
      </w:r>
      <w:r>
        <w:rPr>
          <w:sz w:val="22"/>
          <w:lang w:val="bg-BG" w:eastAsia="en-US"/>
        </w:rPr>
        <w:t>и;</w:t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>- Договори, конвенции и протоколи.</w:t>
      </w:r>
    </w:p>
    <w:p>
      <w:pPr>
        <w:pStyle w:val="Normal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eastAsia="en-US"/>
        </w:rPr>
        <w:t>Други задължения</w:t>
      </w:r>
    </w:p>
    <w:p>
      <w:pPr>
        <w:pStyle w:val="Normal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В зависимост от обстоятелствата и нуждите, нашата организация може да </w:t>
      </w:r>
      <w:r>
        <w:rPr>
          <w:sz w:val="22"/>
          <w:lang w:val="bg-BG" w:eastAsia="en-US"/>
        </w:rPr>
        <w:t>спазва</w:t>
      </w:r>
      <w:r>
        <w:rPr>
          <w:sz w:val="22"/>
          <w:lang w:eastAsia="en-US"/>
        </w:rPr>
        <w:t xml:space="preserve"> доброволно </w:t>
      </w:r>
      <w:r>
        <w:rPr>
          <w:sz w:val="22"/>
          <w:lang w:val="bg-BG" w:eastAsia="en-US"/>
        </w:rPr>
        <w:t>определени</w:t>
      </w:r>
      <w:r>
        <w:rPr>
          <w:sz w:val="22"/>
          <w:lang w:eastAsia="en-US"/>
        </w:rPr>
        <w:t xml:space="preserve"> задължения, различни от правни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 xml:space="preserve"> задължения, които се отнасят </w:t>
      </w:r>
      <w:r>
        <w:rPr>
          <w:sz w:val="22"/>
          <w:lang w:val="bg-BG" w:eastAsia="en-US"/>
        </w:rPr>
        <w:t>до</w:t>
      </w:r>
      <w:r>
        <w:rPr>
          <w:sz w:val="22"/>
          <w:lang w:eastAsia="en-US"/>
        </w:rPr>
        <w:t xml:space="preserve"> екологичните аспекти на дейности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>, продукти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 xml:space="preserve"> и услуги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>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Тези екологични задължения могат да </w:t>
      </w:r>
      <w:r>
        <w:rPr>
          <w:sz w:val="22"/>
          <w:lang w:val="bg-BG" w:eastAsia="en-US"/>
        </w:rPr>
        <w:t>бъдат: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Споразумение с публични органи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Споразумение с клиенти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</w:t>
      </w:r>
      <w:r>
        <w:rPr>
          <w:sz w:val="22"/>
          <w:lang w:val="bg-BG" w:eastAsia="en-US"/>
        </w:rPr>
        <w:t>Н</w:t>
      </w:r>
      <w:r>
        <w:rPr>
          <w:sz w:val="22"/>
          <w:lang w:eastAsia="en-US"/>
        </w:rPr>
        <w:t>ерегулаторни насоки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Доброволни принципи или кодекси за поведение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</w:t>
      </w:r>
      <w:r>
        <w:rPr>
          <w:sz w:val="22"/>
          <w:lang w:val="bg-BG" w:eastAsia="en-US"/>
        </w:rPr>
        <w:t>П</w:t>
      </w:r>
      <w:r>
        <w:rPr>
          <w:sz w:val="22"/>
          <w:lang w:eastAsia="en-US"/>
        </w:rPr>
        <w:t>родуктови ангажименти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</w:t>
      </w:r>
      <w:r>
        <w:rPr>
          <w:sz w:val="22"/>
          <w:lang w:val="bg-BG" w:eastAsia="en-US"/>
        </w:rPr>
        <w:t>И</w:t>
      </w:r>
      <w:r>
        <w:rPr>
          <w:sz w:val="22"/>
          <w:lang w:eastAsia="en-US"/>
        </w:rPr>
        <w:t>зисквания на търговски дружества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Изисквания за </w:t>
      </w:r>
      <w:r>
        <w:rPr>
          <w:sz w:val="22"/>
          <w:lang w:val="bg-BG" w:eastAsia="en-US"/>
        </w:rPr>
        <w:t>фирмата.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  <w:t>УПР  поддържа</w:t>
      </w:r>
      <w:r>
        <w:rPr>
          <w:sz w:val="22"/>
          <w:lang w:eastAsia="en-US"/>
        </w:rPr>
        <w:t xml:space="preserve"> "</w:t>
      </w:r>
      <w:r>
        <w:rPr>
          <w:sz w:val="22"/>
          <w:lang w:val="bg-BG" w:eastAsia="en-US"/>
        </w:rPr>
        <w:t>Формуляр Списък на спазваните задължения, касаещи о</w:t>
      </w:r>
      <w:r>
        <w:rPr>
          <w:sz w:val="22"/>
          <w:lang w:eastAsia="en-US"/>
        </w:rPr>
        <w:t xml:space="preserve">колната среда (QEMR-EF-PR08-001)" и </w:t>
      </w:r>
      <w:r>
        <w:rPr>
          <w:sz w:val="22"/>
          <w:lang w:val="bg-BG" w:eastAsia="en-US"/>
        </w:rPr>
        <w:t xml:space="preserve">разпространява този Списък до </w:t>
      </w:r>
      <w:r>
        <w:rPr>
          <w:sz w:val="22"/>
          <w:lang w:eastAsia="en-US"/>
        </w:rPr>
        <w:t>всички лица, работещи за или от името на организацията, като изпълнители и доставчици, чиито отговорности са свързани с тези изисквания.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eastAsia="en-US"/>
        </w:rPr>
        <w:t>6.b Оценяване на съответствието</w:t>
      </w:r>
    </w:p>
    <w:p>
      <w:pPr>
        <w:pStyle w:val="Normal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В изпълнение на своите ангажименти за съответствие, нашата организация периодично прецен</w:t>
      </w:r>
      <w:r>
        <w:rPr>
          <w:sz w:val="22"/>
          <w:lang w:val="bg-BG" w:eastAsia="en-US"/>
        </w:rPr>
        <w:t xml:space="preserve">я </w:t>
      </w:r>
      <w:r>
        <w:rPr>
          <w:sz w:val="22"/>
          <w:lang w:eastAsia="en-US"/>
        </w:rPr>
        <w:t xml:space="preserve">състоянието </w:t>
      </w:r>
      <w:r>
        <w:rPr>
          <w:sz w:val="22"/>
          <w:lang w:val="bg-BG" w:eastAsia="en-US"/>
        </w:rPr>
        <w:t>и</w:t>
      </w:r>
      <w:r>
        <w:rPr>
          <w:sz w:val="22"/>
          <w:lang w:eastAsia="en-US"/>
        </w:rPr>
        <w:t xml:space="preserve"> съответствие</w:t>
      </w:r>
      <w:r>
        <w:rPr>
          <w:sz w:val="22"/>
          <w:lang w:val="bg-BG" w:eastAsia="en-US"/>
        </w:rPr>
        <w:t>то</w:t>
      </w:r>
      <w:r>
        <w:rPr>
          <w:sz w:val="22"/>
          <w:lang w:eastAsia="en-US"/>
        </w:rPr>
        <w:t xml:space="preserve"> с приложимите законови изисквания и други изисквания.</w:t>
      </w:r>
    </w:p>
    <w:p>
      <w:pPr>
        <w:pStyle w:val="Normal"/>
        <w:ind w:firstLine="720" w:end="0"/>
        <w:jc w:val="both"/>
        <w:rPr/>
      </w:pPr>
      <w:r>
        <w:rPr>
          <w:sz w:val="22"/>
          <w:lang w:val="bg-BG" w:eastAsia="en-US"/>
        </w:rPr>
        <w:t>УПР</w:t>
      </w:r>
      <w:r>
        <w:rPr>
          <w:sz w:val="22"/>
          <w:lang w:eastAsia="en-US"/>
        </w:rPr>
        <w:t xml:space="preserve"> извършва оценка на съответствието на </w:t>
      </w:r>
      <w:r>
        <w:rPr>
          <w:sz w:val="22"/>
          <w:lang w:val="bg-BG" w:eastAsia="en-US"/>
        </w:rPr>
        <w:t>всеки три месеца</w:t>
      </w:r>
      <w:r>
        <w:rPr>
          <w:sz w:val="22"/>
          <w:lang w:eastAsia="en-US"/>
        </w:rPr>
        <w:t xml:space="preserve"> и докладва състоянието на Комитета </w:t>
      </w:r>
      <w:r>
        <w:rPr>
          <w:sz w:val="22"/>
          <w:lang w:val="bg-BG" w:eastAsia="en-US"/>
        </w:rPr>
        <w:t>на ИСУ</w:t>
      </w:r>
      <w:r>
        <w:rPr>
          <w:sz w:val="22"/>
          <w:lang w:eastAsia="en-US"/>
        </w:rPr>
        <w:t>. Всеки пропуск в спазването с</w:t>
      </w:r>
      <w:r>
        <w:rPr>
          <w:sz w:val="22"/>
          <w:lang w:val="bg-BG" w:eastAsia="en-US"/>
        </w:rPr>
        <w:t>е</w:t>
      </w:r>
      <w:r>
        <w:rPr>
          <w:sz w:val="22"/>
          <w:lang w:eastAsia="en-US"/>
        </w:rPr>
        <w:t xml:space="preserve"> проследява и</w:t>
      </w:r>
      <w:r>
        <w:rPr>
          <w:sz w:val="22"/>
          <w:lang w:val="bg-BG" w:eastAsia="en-US"/>
        </w:rPr>
        <w:t xml:space="preserve"> се</w:t>
      </w:r>
      <w:r>
        <w:rPr>
          <w:sz w:val="22"/>
          <w:lang w:eastAsia="en-US"/>
        </w:rPr>
        <w:t xml:space="preserve"> коригира.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Записите на тези тримесечни оценки се поддържат.</w:t>
      </w:r>
    </w:p>
    <w:p>
      <w:pPr>
        <w:pStyle w:val="Normal"/>
        <w:rPr>
          <w:rFonts w:ascii="TimesNewRoman;Times New Roman" w:hAnsi="TimesNewRoman;Times New Roman" w:cs="TimesNewRoman;Times New Roman"/>
          <w:sz w:val="22"/>
          <w:lang w:val="bg-BG" w:eastAsia="en-US"/>
        </w:rPr>
      </w:pPr>
      <w:r>
        <w:rPr>
          <w:rFonts w:cs="TimesNewRoman;Times New Roman" w:ascii="TimesNewRoman;Times New Roman" w:hAnsi="TimesNewRoman;Times New Roman"/>
          <w:sz w:val="22"/>
          <w:lang w:val="bg-BG" w:eastAsia="en-US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16"/>
          <w:u w:val="single"/>
        </w:rPr>
      </w:pPr>
      <w:r>
        <w:rPr>
          <w:b/>
          <w:sz w:val="16"/>
          <w:u w:val="single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16"/>
          <w:lang w:val="bg-BG"/>
        </w:rPr>
      </w:pPr>
      <w:r>
        <w:rPr>
          <w:sz w:val="16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996"/>
        <w:gridCol w:w="1843"/>
        <w:gridCol w:w="911"/>
        <w:gridCol w:w="1260"/>
        <w:gridCol w:w="135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 xml:space="preserve"> </w:t>
            </w:r>
            <w:r>
              <w:rPr/>
              <w:t>(QEMR-E-F-PR08-001)</w:t>
            </w:r>
          </w:p>
          <w:p>
            <w:pPr>
              <w:pStyle w:val="BodyText"/>
              <w:rPr>
                <w:lang w:val="bg-BG"/>
              </w:rPr>
            </w:pPr>
            <w:r>
              <w:rPr>
                <w:lang w:val="bg-BG"/>
              </w:rPr>
              <w:t>Формуляр Списък на спазваните задължения, касаещи о</w:t>
            </w:r>
            <w:r>
              <w:rPr/>
              <w:t>колната среда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>
                <w:lang w:val="bg-BG"/>
              </w:rPr>
              <w:t>Български</w:t>
            </w:r>
            <w:r>
              <w:rPr/>
              <w:t xml:space="preserve">, </w:t>
            </w:r>
            <w:r>
              <w:rPr>
                <w:lang w:val="bg-BG"/>
              </w:rPr>
              <w:t>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Електронно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УПР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16"/>
          <w:u w:val="single"/>
          <w:lang w:val="bg-BG"/>
        </w:rPr>
      </w:pPr>
      <w:r>
        <w:rPr>
          <w:b/>
          <w:sz w:val="16"/>
          <w:u w:val="single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16"/>
          <w:u w:val="single"/>
          <w:lang w:val="bg-BG"/>
        </w:rPr>
      </w:pPr>
      <w:r>
        <w:rPr>
          <w:b/>
          <w:sz w:val="16"/>
          <w:u w:val="single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8.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16"/>
          <w:u w:val="single"/>
          <w:lang w:val="bg-BG"/>
        </w:rPr>
      </w:pPr>
      <w:r>
        <w:rPr>
          <w:b/>
          <w:sz w:val="16"/>
          <w:u w:val="single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jc w:val="end"/>
        <w:rPr>
          <w:sz w:val="22"/>
        </w:rPr>
      </w:pPr>
      <w:r>
        <w:rPr>
          <w:sz w:val="22"/>
        </w:rPr>
      </w:r>
    </w:p>
    <w:p>
      <w:pPr>
        <w:pStyle w:val="Normal"/>
        <w:jc w:val="end"/>
        <w:rPr>
          <w:sz w:val="22"/>
        </w:rPr>
      </w:pPr>
      <w:r>
        <w:rPr>
          <w:sz w:val="22"/>
        </w:rPr>
      </w:r>
    </w:p>
    <w:p>
      <w:pPr>
        <w:pStyle w:val="Normal"/>
        <w:jc w:val="end"/>
        <w:rPr>
          <w:sz w:val="22"/>
        </w:rPr>
      </w:pPr>
      <w:r>
        <w:rPr>
          <w:sz w:val="22"/>
        </w:rPr>
      </w:r>
    </w:p>
    <w:p>
      <w:pPr>
        <w:pStyle w:val="Normal"/>
        <w:jc w:val="end"/>
        <w:rPr>
          <w:sz w:val="22"/>
        </w:rPr>
      </w:pPr>
      <w:r>
        <w:rPr>
          <w:sz w:val="22"/>
        </w:rPr>
        <w:t>QEMR-E-F-PR08-001</w:t>
      </w:r>
    </w:p>
    <w:p>
      <w:pPr>
        <w:pStyle w:val="Normal"/>
        <w:ind w:firstLine="720" w:end="0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ind w:firstLine="720" w:end="0"/>
        <w:rPr>
          <w:b/>
          <w:sz w:val="22"/>
          <w:lang w:val="bg-BG"/>
        </w:rPr>
      </w:pPr>
      <w:r>
        <w:rPr>
          <w:b/>
          <w:sz w:val="22"/>
          <w:lang w:val="bg-BG"/>
        </w:rPr>
        <w:t>СПИСЪК НА СПАЗВАНИТЕ ЗАДЪЛЖЕНИЯ, КАСАЕЩИ ОКОЛНАТА СРЕДА</w:t>
      </w:r>
    </w:p>
    <w:p>
      <w:pPr>
        <w:pStyle w:val="Normal"/>
        <w:ind w:firstLine="720" w:end="0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en-GB"/>
        </w:rPr>
        <w:t>Списък на правни задължения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tbl>
      <w:tblPr>
        <w:tblW w:w="972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2410"/>
        <w:gridCol w:w="4111"/>
        <w:gridCol w:w="2636"/>
      </w:tblGrid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en-GB"/>
              </w:rPr>
            </w:pPr>
            <w:r>
              <w:rPr>
                <w:b/>
                <w:sz w:val="22"/>
                <w:lang w:val="en-GB"/>
              </w:rPr>
              <w:t>No.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en-GB"/>
              </w:rPr>
            </w:pPr>
            <w:r>
              <w:rPr>
                <w:b/>
                <w:sz w:val="22"/>
                <w:lang w:val="bg-BG"/>
              </w:rPr>
              <w:t>Име на институция</w:t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  <w:lang w:val="en-GB"/>
              </w:rPr>
              <w:t xml:space="preserve">Приложимо изискване </w:t>
            </w:r>
            <w:r>
              <w:rPr>
                <w:b/>
                <w:sz w:val="22"/>
                <w:lang w:val="bg-BG"/>
              </w:rPr>
              <w:t>за</w:t>
            </w:r>
            <w:r>
              <w:rPr>
                <w:b/>
                <w:sz w:val="22"/>
                <w:lang w:val="en-GB"/>
              </w:rPr>
              <w:t xml:space="preserve"> околната среда</w:t>
            </w:r>
          </w:p>
        </w:tc>
        <w:tc>
          <w:tcPr>
            <w:tcW w:w="2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Забележки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2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2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3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2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4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2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</w:tr>
    </w:tbl>
    <w:p>
      <w:pPr>
        <w:pStyle w:val="Normal"/>
        <w:rPr>
          <w:sz w:val="22"/>
          <w:lang w:val="en-GB"/>
        </w:rPr>
      </w:pPr>
      <w:r>
        <w:rPr>
          <w:sz w:val="22"/>
          <w:lang w:val="en-GB"/>
        </w:rPr>
      </w:r>
    </w:p>
    <w:p>
      <w:pPr>
        <w:pStyle w:val="Normal"/>
        <w:rPr>
          <w:b/>
          <w:sz w:val="22"/>
          <w:lang w:val="en-GB"/>
        </w:rPr>
      </w:pPr>
      <w:r>
        <w:rPr>
          <w:b/>
          <w:sz w:val="22"/>
          <w:lang w:val="en-GB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en-GB"/>
        </w:rPr>
        <w:t>Списък на други задължения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tbl>
      <w:tblPr>
        <w:tblW w:w="972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2410"/>
        <w:gridCol w:w="4111"/>
        <w:gridCol w:w="2636"/>
      </w:tblGrid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en-GB"/>
              </w:rPr>
            </w:pPr>
            <w:r>
              <w:rPr>
                <w:b/>
                <w:sz w:val="22"/>
                <w:lang w:val="en-GB"/>
              </w:rPr>
              <w:t>No.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en-GB"/>
              </w:rPr>
            </w:pPr>
            <w:r>
              <w:rPr>
                <w:b/>
                <w:sz w:val="22"/>
                <w:lang w:val="bg-BG"/>
              </w:rPr>
              <w:t>Име на институция</w:t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  <w:lang w:val="en-GB"/>
              </w:rPr>
              <w:t xml:space="preserve">Приложимо изискване </w:t>
            </w:r>
            <w:r>
              <w:rPr>
                <w:b/>
                <w:sz w:val="22"/>
                <w:lang w:val="bg-BG"/>
              </w:rPr>
              <w:t>за</w:t>
            </w:r>
            <w:r>
              <w:rPr>
                <w:b/>
                <w:sz w:val="22"/>
                <w:lang w:val="en-GB"/>
              </w:rPr>
              <w:t xml:space="preserve"> околната среда</w:t>
            </w:r>
          </w:p>
        </w:tc>
        <w:tc>
          <w:tcPr>
            <w:tcW w:w="2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Забележки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2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2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3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2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4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  <w:tc>
          <w:tcPr>
            <w:tcW w:w="2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</w:tr>
    </w:tbl>
    <w:p>
      <w:pPr>
        <w:pStyle w:val="Normal"/>
        <w:rPr>
          <w:sz w:val="22"/>
          <w:lang w:val="en-GB"/>
        </w:rPr>
      </w:pPr>
      <w:r>
        <w:rPr>
          <w:sz w:val="22"/>
          <w:lang w:val="en-GB"/>
        </w:rPr>
      </w:r>
    </w:p>
    <w:p>
      <w:pPr>
        <w:pStyle w:val="Normal"/>
        <w:rPr>
          <w:sz w:val="22"/>
          <w:lang w:val="en-GB"/>
        </w:rPr>
      </w:pPr>
      <w:r>
        <w:rPr>
          <w:sz w:val="22"/>
          <w:lang w:val="en-GB"/>
        </w:rPr>
      </w:r>
    </w:p>
    <w:p>
      <w:pPr>
        <w:pStyle w:val="Normal"/>
        <w:rPr>
          <w:sz w:val="22"/>
          <w:lang w:val="en-GB"/>
        </w:rPr>
      </w:pPr>
      <w:r>
        <w:rPr>
          <w:sz w:val="22"/>
          <w:lang w:val="en-GB"/>
        </w:rPr>
      </w:r>
    </w:p>
    <w:p>
      <w:pPr>
        <w:pStyle w:val="Normal"/>
        <w:rPr>
          <w:sz w:val="22"/>
          <w:lang w:val="bg-BG"/>
        </w:rPr>
      </w:pPr>
      <w:r>
        <w:rPr>
          <w:b/>
          <w:sz w:val="22"/>
          <w:lang w:val="bg-BG"/>
        </w:rPr>
        <w:t>Подпис на УПР</w:t>
      </w:r>
      <w:r>
        <w:rPr>
          <w:sz w:val="22"/>
          <w:lang w:val="bg-BG"/>
        </w:rPr>
        <w:t xml:space="preserve"> </w:t>
      </w:r>
      <w:r>
        <w:rPr>
          <w:sz w:val="22"/>
          <w:lang w:val="en-GB"/>
        </w:rPr>
        <w:t xml:space="preserve">: ……………………………….  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lang w:val="bg-BG"/>
        </w:rPr>
        <w:t>Дата</w:t>
      </w:r>
      <w:r>
        <w:rPr>
          <w:sz w:val="22"/>
          <w:lang w:val="en-GB"/>
        </w:rPr>
        <w:t xml:space="preserve">: …………………. </w:t>
      </w:r>
    </w:p>
    <w:p>
      <w:pPr>
        <w:pStyle w:val="Normal"/>
        <w:rPr>
          <w:sz w:val="22"/>
          <w:lang w:val="en-GB"/>
        </w:rPr>
      </w:pPr>
      <w:r>
        <w:rPr>
          <w:sz w:val="22"/>
          <w:lang w:val="en-GB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790" w:footer="535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imesNewRoman">
    <w:altName w:val="Times New Roman"/>
    <w:charset w:val="00" w:characterSet="windows-1252"/>
    <w:family w:val="roman"/>
    <w:pitch w:val="default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1006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955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</w:rPr>
          </w:pPr>
          <w:r>
            <w:rPr>
              <w:sz w:val="22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  <w:lang w:val="bg-BG"/>
            </w:rPr>
            <w:t xml:space="preserve">Док. №: </w:t>
          </w:r>
          <w:r>
            <w:rPr>
              <w:sz w:val="22"/>
            </w:rPr>
            <w:t>QEMR-E-M- PR-08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Версия: 001</w:t>
          </w:r>
        </w:p>
      </w:tc>
    </w:tr>
    <w:tr>
      <w:trPr>
        <w:trHeight w:val="418" w:hRule="atLeast"/>
      </w:trPr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 xml:space="preserve">Дата на утвърждаване: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lang w:val="bg-BG"/>
            </w:rPr>
            <w:t>УПР</w:t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 xml:space="preserve">Стр. </w:t>
          </w:r>
          <w:r>
            <w:rPr>
              <w:sz w:val="22"/>
              <w:lang w:val="bg-BG"/>
            </w:rPr>
            <w:fldChar w:fldCharType="begin"/>
          </w:r>
          <w:r>
            <w:rPr>
              <w:sz w:val="22"/>
              <w:lang w:val="bg-BG"/>
            </w:rPr>
            <w:instrText xml:space="preserve"> PAGE </w:instrText>
          </w:r>
          <w:r>
            <w:rPr>
              <w:sz w:val="22"/>
              <w:lang w:val="bg-BG"/>
            </w:rPr>
            <w:fldChar w:fldCharType="separate"/>
          </w:r>
          <w:r>
            <w:rPr>
              <w:sz w:val="22"/>
              <w:lang w:val="bg-BG"/>
            </w:rPr>
            <w:t>4</w:t>
          </w:r>
          <w:r>
            <w:rPr>
              <w:sz w:val="22"/>
              <w:lang w:val="bg-BG"/>
            </w:rPr>
            <w:fldChar w:fldCharType="end"/>
          </w:r>
          <w:r>
            <w:rPr>
              <w:sz w:val="22"/>
              <w:lang w:val="bg-BG"/>
            </w:rPr>
            <w:t xml:space="preserve"> от 4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5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-179070</wp:posOffset>
              </wp:positionV>
              <wp:extent cx="6318250" cy="1379220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7922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ind w:start="-146" w:end="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>ПРОЦЕДУРА ЗА ИДЕНТИФИЦИРАНЕ И ИЗПЪЛНЕНИЕ НА ЗАДЪЛЖЕНИЯТА ПО СПАЗВАНЕ НА ЕКОЛОГИЧНИТЕ ИЗИСКВАНИЯ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8.6pt;mso-wrap-distance-left:9.05pt;mso-wrap-distance-right:9.05pt;mso-wrap-distance-top:0pt;mso-wrap-distance-bottom:0pt;margin-top:-14.1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ind w:start="-146" w:end="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lang w:val="bg-BG"/>
                            </w:rPr>
                            <w:t>ПРОЦЕДУРА ЗА ИДЕНТИФИЦИРАНЕ И ИЗПЪЛНЕНИЕ НА ЗАДЪЛЖЕНИЯТА ПО СПАЗВАНЕ НА ЕКОЛОГИЧНИТЕ ИЗИСКВАНИЯ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u w:val="singl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45" w:end="0"/>
      <w:jc w:val="center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sz w:val="22"/>
      <w:u w:val="single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sz w:val="22"/>
      <w:u w:val="single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u w:val="single"/>
    </w:rPr>
  </w:style>
  <w:style w:type="character" w:styleId="WW8Num6z0">
    <w:name w:val="WW8Num6z0"/>
    <w:qFormat/>
    <w:rPr/>
  </w:style>
  <w:style w:type="character" w:styleId="Style9">
    <w:name w:val="Шрифт на абзаца по подразбиране"/>
    <w:qFormat/>
    <w:rPr/>
  </w:style>
  <w:style w:type="paragraph" w:styleId="Style10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"/>
    <w:basedOn w:val="Normal"/>
    <w:qFormat/>
    <w:pPr>
      <w:suppressLineNumbers/>
    </w:pPr>
    <w:rPr>
      <w:rFonts w:cs="Arial"/>
    </w:rPr>
  </w:style>
  <w:style w:type="paragraph" w:styleId="Style12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2009-09-15T15:35:00Z</dcterms:created>
  <dc:creator>ws</dc:creator>
  <dc:description/>
  <cp:keywords/>
  <dc:language>bg-BG</dc:language>
  <cp:lastModifiedBy>Nikolay Trayanov</cp:lastModifiedBy>
  <cp:lastPrinted>2002-05-24T15:27:00Z</cp:lastPrinted>
  <dcterms:modified xsi:type="dcterms:W3CDTF">2023-07-11T14:53:00Z</dcterms:modified>
  <cp:revision>42</cp:revision>
  <dc:subject/>
  <dc:title>1</dc:title>
</cp:coreProperties>
</file>