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firstLine="720" w:end="0"/>
        <w:jc w:val="both"/>
        <w:rPr>
          <w:sz w:val="24"/>
          <w:szCs w:val="24"/>
          <w:lang w:val="en-US"/>
        </w:rPr>
      </w:pPr>
      <w:r>
        <w:rPr>
          <w:sz w:val="24"/>
          <w:szCs w:val="24"/>
          <w:lang w:val="en-US"/>
        </w:rPr>
      </w:r>
    </w:p>
    <w:p>
      <w:pPr>
        <w:pStyle w:val="Normal"/>
        <w:ind w:firstLine="720" w:end="0"/>
        <w:jc w:val="both"/>
        <w:rPr>
          <w:b/>
          <w:sz w:val="24"/>
          <w:szCs w:val="24"/>
        </w:rPr>
      </w:pPr>
      <w:r>
        <w:rPr>
          <w:b/>
          <w:sz w:val="24"/>
          <w:szCs w:val="24"/>
        </w:rPr>
        <w:t>1.ОБЛАСТ НА ПРИЛОЖЕНИЕ.</w:t>
      </w:r>
    </w:p>
    <w:p>
      <w:pPr>
        <w:pStyle w:val="Normal"/>
        <w:ind w:firstLine="720" w:end="0"/>
        <w:jc w:val="both"/>
        <w:rPr>
          <w:b/>
          <w:sz w:val="24"/>
          <w:szCs w:val="24"/>
        </w:rPr>
      </w:pPr>
      <w:r>
        <w:rPr>
          <w:b/>
          <w:sz w:val="24"/>
          <w:szCs w:val="24"/>
        </w:rPr>
      </w:r>
    </w:p>
    <w:p>
      <w:pPr>
        <w:pStyle w:val="Style12"/>
        <w:widowControl w:val="false"/>
        <w:numPr>
          <w:ilvl w:val="0"/>
          <w:numId w:val="0"/>
        </w:numPr>
        <w:ind w:firstLine="720" w:start="0" w:end="0"/>
        <w:rPr>
          <w:sz w:val="24"/>
          <w:szCs w:val="24"/>
        </w:rPr>
      </w:pPr>
      <w:r>
        <w:rPr>
          <w:sz w:val="24"/>
          <w:szCs w:val="24"/>
        </w:rPr>
        <w:t xml:space="preserve">Настоящата процедура определя метода за оценка, в </w:t>
      </w:r>
      <w:r>
        <w:rPr>
          <w:sz w:val="24"/>
          <w:szCs w:val="24"/>
          <w:lang w:val="sv-SE"/>
        </w:rPr>
        <w:t>„Братя Панчеви“ ООД,</w:t>
      </w:r>
      <w:r>
        <w:rPr>
          <w:sz w:val="24"/>
          <w:szCs w:val="24"/>
        </w:rPr>
        <w:t xml:space="preserve"> на аспектите на околната среда и свързаните с тях въздействия, както и реда за оценяване на съответствието на дейностите, процесите и продуктите, имащи отношение към работата на интегрираната системата за управление на качеството и околната среда, действаща на територията на Дружеството.</w:t>
      </w:r>
    </w:p>
    <w:p>
      <w:pPr>
        <w:pStyle w:val="Normal"/>
        <w:ind w:firstLine="720" w:end="0"/>
        <w:jc w:val="both"/>
        <w:rPr>
          <w:sz w:val="24"/>
          <w:szCs w:val="24"/>
          <w:lang w:val="bg-BG"/>
        </w:rPr>
      </w:pPr>
      <w:r>
        <w:rPr>
          <w:sz w:val="24"/>
          <w:szCs w:val="24"/>
          <w:lang w:val="bg-BG"/>
        </w:rPr>
      </w:r>
    </w:p>
    <w:p>
      <w:pPr>
        <w:pStyle w:val="Normal"/>
        <w:ind w:firstLine="720" w:end="0"/>
        <w:jc w:val="both"/>
        <w:rPr>
          <w:sz w:val="24"/>
          <w:szCs w:val="24"/>
        </w:rPr>
      </w:pPr>
      <w:r>
        <w:rPr>
          <w:b/>
          <w:sz w:val="24"/>
          <w:szCs w:val="24"/>
        </w:rPr>
        <w:t>2.ПОЗОВАВАНИЯ.</w:t>
      </w:r>
    </w:p>
    <w:p>
      <w:pPr>
        <w:pStyle w:val="Normal"/>
        <w:ind w:firstLine="720" w:end="0"/>
        <w:jc w:val="both"/>
        <w:rPr>
          <w:sz w:val="24"/>
          <w:szCs w:val="24"/>
          <w:lang w:val="bg-BG"/>
        </w:rPr>
      </w:pPr>
      <w:r>
        <w:rPr>
          <w:sz w:val="24"/>
          <w:szCs w:val="24"/>
          <w:lang w:val="bg-BG"/>
        </w:rPr>
      </w:r>
    </w:p>
    <w:p>
      <w:pPr>
        <w:pStyle w:val="Normal"/>
        <w:ind w:firstLine="720" w:end="0"/>
        <w:jc w:val="both"/>
        <w:rPr/>
      </w:pPr>
      <w:r>
        <w:rPr>
          <w:sz w:val="24"/>
          <w:szCs w:val="24"/>
        </w:rPr>
        <w:t xml:space="preserve">2.1.БДС </w:t>
      </w:r>
      <w:r>
        <w:rPr>
          <w:sz w:val="24"/>
          <w:szCs w:val="24"/>
          <w:lang w:val="en-US"/>
        </w:rPr>
        <w:t>EN</w:t>
      </w:r>
      <w:r>
        <w:rPr>
          <w:sz w:val="24"/>
          <w:szCs w:val="24"/>
        </w:rPr>
        <w:t xml:space="preserve"> </w:t>
      </w:r>
      <w:r>
        <w:rPr>
          <w:sz w:val="24"/>
          <w:szCs w:val="24"/>
          <w:lang w:val="en-US"/>
        </w:rPr>
        <w:t>ISO</w:t>
      </w:r>
      <w:r>
        <w:rPr>
          <w:sz w:val="24"/>
          <w:szCs w:val="24"/>
        </w:rPr>
        <w:t xml:space="preserve"> 9001:20</w:t>
      </w:r>
      <w:r>
        <w:rPr>
          <w:sz w:val="24"/>
          <w:szCs w:val="24"/>
          <w:lang w:val="bg-BG"/>
        </w:rPr>
        <w:t>15</w:t>
      </w:r>
      <w:r>
        <w:rPr>
          <w:sz w:val="24"/>
          <w:szCs w:val="24"/>
        </w:rPr>
        <w:t xml:space="preserve"> (</w:t>
      </w:r>
      <w:r>
        <w:rPr>
          <w:sz w:val="24"/>
          <w:szCs w:val="24"/>
          <w:lang w:val="en-US"/>
        </w:rPr>
        <w:t>ISO</w:t>
      </w:r>
      <w:r>
        <w:rPr>
          <w:sz w:val="24"/>
          <w:szCs w:val="24"/>
        </w:rPr>
        <w:t xml:space="preserve"> 9001:20</w:t>
      </w:r>
      <w:r>
        <w:rPr>
          <w:sz w:val="24"/>
          <w:szCs w:val="24"/>
          <w:lang w:val="bg-BG"/>
        </w:rPr>
        <w:t>15</w:t>
      </w:r>
      <w:r>
        <w:rPr>
          <w:sz w:val="24"/>
          <w:szCs w:val="24"/>
        </w:rPr>
        <w:t>) “Системи за управление на качеството. Изисквания”.</w:t>
      </w:r>
    </w:p>
    <w:p>
      <w:pPr>
        <w:pStyle w:val="Normal"/>
        <w:ind w:firstLine="720" w:end="0"/>
        <w:jc w:val="both"/>
        <w:rPr/>
      </w:pPr>
      <w:r>
        <w:rPr>
          <w:sz w:val="24"/>
          <w:szCs w:val="24"/>
        </w:rPr>
        <w:t xml:space="preserve">2.2.БДС </w:t>
      </w:r>
      <w:r>
        <w:rPr>
          <w:sz w:val="24"/>
          <w:szCs w:val="24"/>
          <w:lang w:val="en-US"/>
        </w:rPr>
        <w:t>EN</w:t>
      </w:r>
      <w:r>
        <w:rPr>
          <w:sz w:val="24"/>
          <w:szCs w:val="24"/>
        </w:rPr>
        <w:t xml:space="preserve"> </w:t>
      </w:r>
      <w:r>
        <w:rPr>
          <w:sz w:val="24"/>
          <w:szCs w:val="24"/>
          <w:lang w:val="en-US"/>
        </w:rPr>
        <w:t>ISO</w:t>
      </w:r>
      <w:r>
        <w:rPr>
          <w:sz w:val="24"/>
          <w:szCs w:val="24"/>
        </w:rPr>
        <w:t xml:space="preserve"> 9000:2007 (</w:t>
      </w:r>
      <w:r>
        <w:rPr>
          <w:sz w:val="24"/>
          <w:szCs w:val="24"/>
          <w:lang w:val="en-US"/>
        </w:rPr>
        <w:t>ISO</w:t>
      </w:r>
      <w:r>
        <w:rPr>
          <w:sz w:val="24"/>
          <w:szCs w:val="24"/>
        </w:rPr>
        <w:t xml:space="preserve"> 9000:2005) “Системи за управление на качеството. Основни принципи и речник”.</w:t>
      </w:r>
    </w:p>
    <w:p>
      <w:pPr>
        <w:pStyle w:val="Normal"/>
        <w:ind w:firstLine="720" w:end="0"/>
        <w:jc w:val="both"/>
        <w:rPr/>
      </w:pPr>
      <w:r>
        <w:rPr>
          <w:sz w:val="24"/>
          <w:szCs w:val="24"/>
        </w:rPr>
        <w:t xml:space="preserve">2.3.БДС </w:t>
      </w:r>
      <w:r>
        <w:rPr>
          <w:sz w:val="24"/>
          <w:szCs w:val="24"/>
          <w:lang w:val="en-US"/>
        </w:rPr>
        <w:t>EN</w:t>
      </w:r>
      <w:r>
        <w:rPr>
          <w:sz w:val="24"/>
          <w:szCs w:val="24"/>
        </w:rPr>
        <w:t xml:space="preserve"> </w:t>
      </w:r>
      <w:r>
        <w:rPr>
          <w:sz w:val="24"/>
          <w:szCs w:val="24"/>
          <w:lang w:val="en-US"/>
        </w:rPr>
        <w:t>ISO</w:t>
      </w:r>
      <w:r>
        <w:rPr>
          <w:sz w:val="24"/>
          <w:szCs w:val="24"/>
        </w:rPr>
        <w:t xml:space="preserve"> 9004:2002 (</w:t>
      </w:r>
      <w:r>
        <w:rPr>
          <w:sz w:val="24"/>
          <w:szCs w:val="24"/>
          <w:lang w:val="en-US"/>
        </w:rPr>
        <w:t>ISO</w:t>
      </w:r>
      <w:r>
        <w:rPr>
          <w:sz w:val="24"/>
          <w:szCs w:val="24"/>
        </w:rPr>
        <w:t xml:space="preserve"> 9004:2000) “Системи за управление на качеството. Указания за подобряване на постиженията”.</w:t>
      </w:r>
    </w:p>
    <w:p>
      <w:pPr>
        <w:pStyle w:val="31"/>
        <w:numPr>
          <w:ilvl w:val="0"/>
          <w:numId w:val="0"/>
        </w:numPr>
        <w:spacing w:before="0" w:after="0"/>
        <w:ind w:firstLine="720" w:start="0" w:end="0"/>
        <w:jc w:val="both"/>
        <w:rPr>
          <w:smallCaps/>
          <w:sz w:val="24"/>
          <w:szCs w:val="24"/>
        </w:rPr>
      </w:pPr>
      <w:r>
        <w:rPr>
          <w:smallCaps/>
          <w:sz w:val="24"/>
          <w:szCs w:val="24"/>
        </w:rPr>
        <w:t xml:space="preserve">2.4.БДС </w:t>
      </w:r>
      <w:r>
        <w:rPr>
          <w:smallCaps/>
          <w:sz w:val="24"/>
          <w:szCs w:val="24"/>
          <w:lang w:val="en-US"/>
        </w:rPr>
        <w:t>EN</w:t>
      </w:r>
      <w:r>
        <w:rPr>
          <w:smallCaps/>
          <w:sz w:val="24"/>
          <w:szCs w:val="24"/>
        </w:rPr>
        <w:t xml:space="preserve"> </w:t>
      </w:r>
      <w:r>
        <w:rPr>
          <w:smallCaps/>
          <w:sz w:val="24"/>
          <w:szCs w:val="24"/>
          <w:lang w:val="en-US"/>
        </w:rPr>
        <w:t>ISO</w:t>
      </w:r>
      <w:r>
        <w:rPr>
          <w:smallCaps/>
          <w:sz w:val="24"/>
          <w:szCs w:val="24"/>
        </w:rPr>
        <w:t xml:space="preserve"> 14001:20</w:t>
      </w:r>
      <w:r>
        <w:rPr>
          <w:smallCaps/>
          <w:sz w:val="24"/>
          <w:szCs w:val="24"/>
          <w:lang w:val="bg-BG"/>
        </w:rPr>
        <w:t>15</w:t>
      </w:r>
      <w:r>
        <w:rPr>
          <w:smallCaps/>
          <w:sz w:val="24"/>
          <w:szCs w:val="24"/>
        </w:rPr>
        <w:t xml:space="preserve"> (</w:t>
      </w:r>
      <w:r>
        <w:rPr>
          <w:smallCaps/>
          <w:sz w:val="24"/>
          <w:szCs w:val="24"/>
          <w:lang w:val="en-US"/>
        </w:rPr>
        <w:t>ISO</w:t>
      </w:r>
      <w:r>
        <w:rPr>
          <w:smallCaps/>
          <w:sz w:val="24"/>
          <w:szCs w:val="24"/>
        </w:rPr>
        <w:t xml:space="preserve"> 14001:20</w:t>
      </w:r>
      <w:r>
        <w:rPr>
          <w:smallCaps/>
          <w:sz w:val="24"/>
          <w:szCs w:val="24"/>
          <w:lang w:val="bg-BG"/>
        </w:rPr>
        <w:t>15</w:t>
      </w:r>
      <w:r>
        <w:rPr>
          <w:smallCaps/>
          <w:sz w:val="24"/>
          <w:szCs w:val="24"/>
        </w:rPr>
        <w:t xml:space="preserve">) </w:t>
      </w:r>
      <w:r>
        <w:rPr>
          <w:sz w:val="24"/>
          <w:szCs w:val="24"/>
        </w:rPr>
        <w:t>“Системи за управление на околната среда. Спецификация и указания за нейното прилагане”.</w:t>
      </w:r>
    </w:p>
    <w:p>
      <w:pPr>
        <w:pStyle w:val="Normal"/>
        <w:ind w:firstLine="720" w:end="0"/>
        <w:jc w:val="both"/>
        <w:rPr/>
      </w:pPr>
      <w:r>
        <w:rPr>
          <w:sz w:val="24"/>
          <w:szCs w:val="24"/>
        </w:rPr>
        <w:t xml:space="preserve">2.5.БДС </w:t>
      </w:r>
      <w:r>
        <w:rPr>
          <w:sz w:val="24"/>
          <w:szCs w:val="24"/>
          <w:lang w:val="en-US"/>
        </w:rPr>
        <w:t>EN</w:t>
      </w:r>
      <w:r>
        <w:rPr>
          <w:sz w:val="24"/>
          <w:szCs w:val="24"/>
        </w:rPr>
        <w:t xml:space="preserve"> </w:t>
      </w:r>
      <w:r>
        <w:rPr>
          <w:sz w:val="24"/>
          <w:szCs w:val="24"/>
          <w:lang w:val="en-US"/>
        </w:rPr>
        <w:t>ISO</w:t>
      </w:r>
      <w:r>
        <w:rPr>
          <w:sz w:val="24"/>
          <w:szCs w:val="24"/>
        </w:rPr>
        <w:t xml:space="preserve"> 1400</w:t>
      </w:r>
      <w:r>
        <w:rPr>
          <w:sz w:val="24"/>
          <w:szCs w:val="24"/>
          <w:lang w:val="en-US"/>
        </w:rPr>
        <w:t>4</w:t>
      </w:r>
      <w:r>
        <w:rPr>
          <w:sz w:val="24"/>
          <w:szCs w:val="24"/>
        </w:rPr>
        <w:t>:20</w:t>
      </w:r>
      <w:r>
        <w:rPr>
          <w:sz w:val="24"/>
          <w:szCs w:val="24"/>
          <w:lang w:val="bg-BG"/>
        </w:rPr>
        <w:t>15</w:t>
      </w:r>
      <w:r>
        <w:rPr>
          <w:sz w:val="24"/>
          <w:szCs w:val="24"/>
          <w:lang w:val="en-US"/>
        </w:rPr>
        <w:t xml:space="preserve"> (ISO</w:t>
      </w:r>
      <w:r>
        <w:rPr>
          <w:sz w:val="24"/>
          <w:szCs w:val="24"/>
        </w:rPr>
        <w:t xml:space="preserve"> 14004:20</w:t>
      </w:r>
      <w:r>
        <w:rPr>
          <w:sz w:val="24"/>
          <w:szCs w:val="24"/>
          <w:lang w:val="bg-BG"/>
        </w:rPr>
        <w:t>15</w:t>
      </w:r>
      <w:r>
        <w:rPr>
          <w:sz w:val="24"/>
          <w:szCs w:val="24"/>
          <w:lang w:val="en-US"/>
        </w:rPr>
        <w:t>)</w:t>
      </w:r>
      <w:r>
        <w:rPr>
          <w:sz w:val="24"/>
          <w:szCs w:val="24"/>
        </w:rPr>
        <w:t xml:space="preserve"> “Система за управление на околната среда. Общи указания за принципи, системите и спомагателните методи”.</w:t>
      </w:r>
    </w:p>
    <w:p>
      <w:pPr>
        <w:pStyle w:val="Normal"/>
        <w:ind w:firstLine="720" w:end="0"/>
        <w:jc w:val="both"/>
        <w:rPr>
          <w:sz w:val="24"/>
          <w:szCs w:val="24"/>
          <w:lang w:val="bg-BG"/>
        </w:rPr>
      </w:pPr>
      <w:r>
        <w:rPr>
          <w:sz w:val="24"/>
          <w:szCs w:val="24"/>
        </w:rPr>
        <w:t>2.6.</w:t>
      </w:r>
      <w:r>
        <w:rPr>
          <w:sz w:val="24"/>
          <w:szCs w:val="24"/>
          <w:lang w:val="en-US"/>
        </w:rPr>
        <w:t>EN</w:t>
      </w:r>
      <w:r>
        <w:rPr>
          <w:sz w:val="24"/>
          <w:szCs w:val="24"/>
        </w:rPr>
        <w:t xml:space="preserve"> </w:t>
      </w:r>
      <w:r>
        <w:rPr>
          <w:sz w:val="24"/>
          <w:szCs w:val="24"/>
          <w:lang w:val="en-US"/>
        </w:rPr>
        <w:t>ISO</w:t>
      </w:r>
      <w:r>
        <w:rPr>
          <w:sz w:val="24"/>
          <w:szCs w:val="24"/>
        </w:rPr>
        <w:t xml:space="preserve"> 14050:2002 “Управление на околната среда. Речник”.</w:t>
      </w:r>
    </w:p>
    <w:p>
      <w:pPr>
        <w:pStyle w:val="Normal"/>
        <w:rPr>
          <w:b/>
          <w:sz w:val="24"/>
          <w:szCs w:val="24"/>
          <w:lang w:val="bg-BG"/>
        </w:rPr>
      </w:pPr>
      <w:r>
        <w:rPr>
          <w:b/>
          <w:sz w:val="24"/>
          <w:szCs w:val="24"/>
          <w:lang w:val="bg-BG"/>
        </w:rPr>
      </w:r>
    </w:p>
    <w:p>
      <w:pPr>
        <w:pStyle w:val="Normal"/>
        <w:ind w:firstLine="720" w:end="0"/>
        <w:rPr>
          <w:b/>
          <w:sz w:val="24"/>
          <w:szCs w:val="24"/>
        </w:rPr>
      </w:pPr>
      <w:r>
        <w:rPr>
          <w:b/>
          <w:sz w:val="24"/>
          <w:szCs w:val="24"/>
        </w:rPr>
        <w:t>3.ТЕРМИНИ, ОПРЕДЕЛЕНИЯ, СЪКРАЩЕНИЯ И ОЗНАЧЕНИЯ.</w:t>
      </w:r>
    </w:p>
    <w:p>
      <w:pPr>
        <w:pStyle w:val="Normal"/>
        <w:ind w:firstLine="720" w:end="0"/>
        <w:rPr>
          <w:b/>
          <w:bCs/>
          <w:sz w:val="24"/>
          <w:szCs w:val="24"/>
        </w:rPr>
      </w:pPr>
      <w:r>
        <w:rPr>
          <w:b/>
          <w:bCs/>
          <w:sz w:val="24"/>
          <w:szCs w:val="24"/>
        </w:rPr>
      </w:r>
    </w:p>
    <w:p>
      <w:pPr>
        <w:pStyle w:val="Normal"/>
        <w:numPr>
          <w:ilvl w:val="0"/>
          <w:numId w:val="0"/>
        </w:numPr>
        <w:snapToGrid w:val="false"/>
        <w:ind w:firstLine="720" w:start="0" w:end="0"/>
        <w:jc w:val="both"/>
        <w:rPr>
          <w:sz w:val="24"/>
          <w:lang w:val="bg-BG"/>
        </w:rPr>
      </w:pPr>
      <w:r>
        <w:rPr>
          <w:sz w:val="24"/>
        </w:rPr>
        <w:t>Всички термини и определения</w:t>
      </w:r>
      <w:r>
        <w:rPr>
          <w:sz w:val="24"/>
          <w:lang w:val="bg-BG"/>
        </w:rPr>
        <w:t>,</w:t>
      </w:r>
      <w:r>
        <w:rPr>
          <w:sz w:val="24"/>
        </w:rPr>
        <w:t xml:space="preserve"> използвани в настоящата процедура на </w:t>
      </w:r>
      <w:r>
        <w:rPr>
          <w:sz w:val="24"/>
          <w:lang w:val="bg-BG"/>
        </w:rPr>
        <w:t>С</w:t>
      </w:r>
      <w:r>
        <w:rPr>
          <w:sz w:val="24"/>
        </w:rPr>
        <w:t>истемата за управление на качеството</w:t>
      </w:r>
      <w:r>
        <w:rPr>
          <w:sz w:val="24"/>
          <w:lang w:val="bg-BG"/>
        </w:rPr>
        <w:t xml:space="preserve"> и </w:t>
      </w:r>
      <w:r>
        <w:rPr>
          <w:sz w:val="24"/>
        </w:rPr>
        <w:t>околната среда са съгласно БДС EN ISO 9000:2007 (ISO 9000:2005) “Системи за управление на качеството. Основни принципи и речник”, EN ISO 14050:2002 “Управление на околната среда. Речник</w:t>
      </w:r>
      <w:r>
        <w:rPr>
          <w:sz w:val="24"/>
          <w:lang w:val="bg-BG"/>
        </w:rPr>
        <w:t>.</w:t>
      </w:r>
    </w:p>
    <w:p>
      <w:pPr>
        <w:pStyle w:val="Normal"/>
        <w:ind w:firstLine="720" w:end="0"/>
        <w:jc w:val="both"/>
        <w:rPr>
          <w:b/>
          <w:sz w:val="24"/>
          <w:szCs w:val="24"/>
          <w:lang w:val="bg-BG"/>
        </w:rPr>
      </w:pPr>
      <w:r>
        <w:rPr>
          <w:b/>
          <w:sz w:val="24"/>
          <w:szCs w:val="24"/>
          <w:lang w:val="bg-BG"/>
        </w:rPr>
      </w:r>
    </w:p>
    <w:p>
      <w:pPr>
        <w:pStyle w:val="Normal"/>
        <w:ind w:firstLine="720" w:end="0"/>
        <w:jc w:val="both"/>
        <w:rPr>
          <w:b/>
          <w:sz w:val="24"/>
          <w:szCs w:val="24"/>
        </w:rPr>
      </w:pPr>
      <w:r>
        <w:rPr>
          <w:b/>
          <w:sz w:val="24"/>
          <w:szCs w:val="24"/>
        </w:rPr>
        <w:t>4.ОБЩИ ПОЛОЖЕНИЯ.</w:t>
      </w:r>
    </w:p>
    <w:p>
      <w:pPr>
        <w:pStyle w:val="Normal"/>
        <w:ind w:firstLine="720" w:end="0"/>
        <w:jc w:val="both"/>
        <w:rPr>
          <w:b/>
          <w:sz w:val="24"/>
          <w:szCs w:val="24"/>
        </w:rPr>
      </w:pPr>
      <w:r>
        <w:rPr>
          <w:b/>
          <w:sz w:val="24"/>
          <w:szCs w:val="24"/>
        </w:rPr>
      </w:r>
    </w:p>
    <w:p>
      <w:pPr>
        <w:pStyle w:val="Normal"/>
        <w:ind w:firstLine="720" w:end="0"/>
        <w:jc w:val="both"/>
        <w:rPr>
          <w:sz w:val="24"/>
          <w:szCs w:val="24"/>
          <w:lang w:val="bg-BG"/>
        </w:rPr>
      </w:pPr>
      <w:r>
        <w:rPr>
          <w:sz w:val="24"/>
          <w:szCs w:val="24"/>
        </w:rPr>
        <w:t xml:space="preserve">4.1.Идентифицирането на аспектите на околната среда е дейност, която периодично се извършва в </w:t>
      </w:r>
      <w:r>
        <w:rPr>
          <w:sz w:val="24"/>
          <w:szCs w:val="24"/>
          <w:lang w:val="bg-BG"/>
        </w:rPr>
        <w:t>„Братя Панчеви“ ООД.</w:t>
      </w:r>
      <w:r>
        <w:rPr>
          <w:sz w:val="24"/>
          <w:szCs w:val="24"/>
        </w:rPr>
        <w:t xml:space="preserve"> За тази цел се прави преглед на дейностите, продуктите или услугите, за установяване на въведени нови или променени съществуващи дейности (технологии), продукти или услуги. За всяка дефинирана дейност</w:t>
      </w:r>
      <w:r>
        <w:rPr>
          <w:sz w:val="24"/>
          <w:szCs w:val="24"/>
          <w:lang w:val="bg-BG"/>
        </w:rPr>
        <w:t xml:space="preserve"> и/или</w:t>
      </w:r>
      <w:r>
        <w:rPr>
          <w:sz w:val="24"/>
          <w:szCs w:val="24"/>
        </w:rPr>
        <w:t xml:space="preserve"> продукт в </w:t>
      </w:r>
      <w:r>
        <w:rPr>
          <w:sz w:val="24"/>
          <w:szCs w:val="24"/>
          <w:lang w:val="bg-BG"/>
        </w:rPr>
        <w:t>„Братя Панчеви“ ООД,</w:t>
      </w:r>
      <w:r>
        <w:rPr>
          <w:sz w:val="24"/>
          <w:szCs w:val="24"/>
        </w:rPr>
        <w:t xml:space="preserve"> се идентифицират аспекти. Прегледът включва:</w:t>
      </w:r>
    </w:p>
    <w:p>
      <w:pPr>
        <w:pStyle w:val="Normal"/>
        <w:ind w:firstLine="720" w:end="0"/>
        <w:jc w:val="both"/>
        <w:rPr>
          <w:sz w:val="24"/>
          <w:szCs w:val="24"/>
          <w:lang w:val="bg-BG"/>
        </w:rPr>
      </w:pPr>
      <w:r>
        <w:rPr>
          <w:sz w:val="24"/>
          <w:szCs w:val="24"/>
          <w:lang w:val="bg-BG"/>
        </w:rPr>
      </w:r>
    </w:p>
    <w:p>
      <w:pPr>
        <w:pStyle w:val="Normal"/>
        <w:ind w:firstLine="720" w:end="0"/>
        <w:jc w:val="both"/>
        <w:rPr>
          <w:sz w:val="24"/>
          <w:szCs w:val="24"/>
        </w:rPr>
      </w:pPr>
      <w:r>
        <w:rPr>
          <w:bCs/>
          <w:sz w:val="24"/>
          <w:szCs w:val="24"/>
        </w:rPr>
        <w:t xml:space="preserve">4.1.1.Идентифициране на законовите и нормативните изисквания, касаещи работата на </w:t>
      </w:r>
      <w:r>
        <w:rPr>
          <w:sz w:val="24"/>
          <w:szCs w:val="24"/>
          <w:lang w:val="bg-BG"/>
        </w:rPr>
        <w:t>„Братя Панчеви“ ООД;</w:t>
      </w:r>
    </w:p>
    <w:p>
      <w:pPr>
        <w:pStyle w:val="Normal"/>
        <w:ind w:firstLine="720" w:end="0"/>
        <w:jc w:val="both"/>
        <w:rPr/>
      </w:pPr>
      <w:r>
        <w:rPr>
          <w:bCs/>
          <w:sz w:val="24"/>
          <w:szCs w:val="24"/>
        </w:rPr>
        <w:t>4.1.2.</w:t>
      </w:r>
      <w:r>
        <w:rPr>
          <w:sz w:val="24"/>
          <w:szCs w:val="24"/>
        </w:rPr>
        <w:t>Идентифициране на аспекти по околната среда, свързани с действия или услуги, така че да се определят тези от тях, които оказват или могат да имат значими въздействия върху околната среда;</w:t>
      </w:r>
    </w:p>
    <w:p>
      <w:pPr>
        <w:pStyle w:val="Normal"/>
        <w:ind w:firstLine="720" w:end="0"/>
        <w:jc w:val="both"/>
        <w:rPr/>
      </w:pPr>
      <w:r>
        <w:rPr>
          <w:bCs/>
          <w:sz w:val="24"/>
          <w:szCs w:val="24"/>
        </w:rPr>
        <w:t>4.1.3.</w:t>
      </w:r>
      <w:r>
        <w:rPr>
          <w:sz w:val="24"/>
          <w:szCs w:val="24"/>
        </w:rPr>
        <w:t xml:space="preserve">Оценяване на резултатността, от управлението на околната среда, в сравнение със съответните вътрешни критерии, външни стандарти, законови изисквания, документирани практики от </w:t>
      </w:r>
      <w:r>
        <w:rPr>
          <w:sz w:val="24"/>
          <w:szCs w:val="24"/>
          <w:lang w:val="bg-BG"/>
        </w:rPr>
        <w:t>строителството</w:t>
      </w:r>
      <w:r>
        <w:rPr>
          <w:sz w:val="24"/>
          <w:szCs w:val="24"/>
        </w:rPr>
        <w:t>;</w:t>
      </w:r>
    </w:p>
    <w:p>
      <w:pPr>
        <w:pStyle w:val="Normal"/>
        <w:ind w:firstLine="720" w:end="0"/>
        <w:jc w:val="both"/>
        <w:rPr/>
      </w:pPr>
      <w:r>
        <w:rPr>
          <w:bCs/>
          <w:sz w:val="24"/>
          <w:szCs w:val="24"/>
        </w:rPr>
        <w:t>4.1.4.</w:t>
      </w:r>
      <w:r>
        <w:rPr>
          <w:sz w:val="24"/>
          <w:szCs w:val="24"/>
        </w:rPr>
        <w:t>Съществуващи практики и процедури за управление на околната среда;</w:t>
      </w:r>
    </w:p>
    <w:p>
      <w:pPr>
        <w:pStyle w:val="Normal"/>
        <w:ind w:firstLine="720" w:end="0"/>
        <w:jc w:val="both"/>
        <w:rPr/>
      </w:pPr>
      <w:r>
        <w:rPr>
          <w:bCs/>
          <w:sz w:val="24"/>
          <w:szCs w:val="24"/>
        </w:rPr>
        <w:t>4.1.5.</w:t>
      </w:r>
      <w:r>
        <w:rPr>
          <w:sz w:val="24"/>
          <w:szCs w:val="24"/>
        </w:rPr>
        <w:t>Идентифициране на съществуващи подходи и процедури, отнасящи се до дейностите по избор на доставчици;</w:t>
      </w:r>
    </w:p>
    <w:p>
      <w:pPr>
        <w:pStyle w:val="Normal"/>
        <w:ind w:firstLine="720" w:end="0"/>
        <w:jc w:val="both"/>
        <w:rPr/>
      </w:pPr>
      <w:r>
        <w:rPr>
          <w:bCs/>
          <w:sz w:val="24"/>
          <w:szCs w:val="24"/>
        </w:rPr>
        <w:t>4.1.6.</w:t>
      </w:r>
      <w:r>
        <w:rPr>
          <w:sz w:val="24"/>
          <w:szCs w:val="24"/>
        </w:rPr>
        <w:t>Обратна връзка, посредством информация от проучването на предишни инциденти и несъответствия, свързани с околната среда;</w:t>
      </w:r>
    </w:p>
    <w:p>
      <w:pPr>
        <w:pStyle w:val="Normal"/>
        <w:ind w:firstLine="720" w:end="0"/>
        <w:jc w:val="both"/>
        <w:rPr/>
      </w:pPr>
      <w:r>
        <w:rPr>
          <w:bCs/>
          <w:sz w:val="24"/>
          <w:szCs w:val="24"/>
        </w:rPr>
        <w:t>4.1.7.</w:t>
      </w:r>
      <w:r>
        <w:rPr>
          <w:sz w:val="24"/>
          <w:szCs w:val="24"/>
        </w:rPr>
        <w:t>Възможности за получаване на конкурентно предимство;</w:t>
      </w:r>
    </w:p>
    <w:p>
      <w:pPr>
        <w:pStyle w:val="Normal"/>
        <w:ind w:firstLine="720" w:end="0"/>
        <w:jc w:val="both"/>
        <w:rPr/>
      </w:pPr>
      <w:r>
        <w:rPr>
          <w:bCs/>
          <w:sz w:val="24"/>
          <w:szCs w:val="24"/>
        </w:rPr>
        <w:t>4.1.8.</w:t>
      </w:r>
      <w:r>
        <w:rPr>
          <w:sz w:val="24"/>
          <w:szCs w:val="24"/>
        </w:rPr>
        <w:t>Възгледите на заинтересованите страни;</w:t>
      </w:r>
    </w:p>
    <w:p>
      <w:pPr>
        <w:pStyle w:val="Normal"/>
        <w:ind w:firstLine="720" w:end="0"/>
        <w:jc w:val="both"/>
        <w:rPr/>
      </w:pPr>
      <w:r>
        <w:rPr>
          <w:bCs/>
          <w:sz w:val="24"/>
          <w:szCs w:val="24"/>
        </w:rPr>
        <w:t>4.1.9.</w:t>
      </w:r>
      <w:r>
        <w:rPr>
          <w:sz w:val="24"/>
          <w:szCs w:val="24"/>
        </w:rPr>
        <w:t xml:space="preserve">Функции или дейности на други системи на </w:t>
      </w:r>
      <w:r>
        <w:rPr>
          <w:sz w:val="24"/>
          <w:szCs w:val="24"/>
          <w:lang w:val="bg-BG"/>
        </w:rPr>
        <w:t>„Братя Панчеви“ ООД,</w:t>
      </w:r>
      <w:r>
        <w:rPr>
          <w:sz w:val="24"/>
          <w:szCs w:val="24"/>
        </w:rPr>
        <w:t xml:space="preserve"> които могат да подпомогнат или затруднят постигане на резултатност по околната среда.</w:t>
      </w:r>
    </w:p>
    <w:p>
      <w:pPr>
        <w:pStyle w:val="Normal"/>
        <w:ind w:firstLine="720" w:end="0"/>
        <w:jc w:val="both"/>
        <w:rPr>
          <w:sz w:val="24"/>
          <w:szCs w:val="24"/>
        </w:rPr>
      </w:pPr>
      <w:r>
        <w:rPr>
          <w:sz w:val="24"/>
          <w:szCs w:val="24"/>
        </w:rPr>
      </w:r>
    </w:p>
    <w:p>
      <w:pPr>
        <w:pStyle w:val="Normal"/>
        <w:ind w:firstLine="720" w:end="0"/>
        <w:jc w:val="both"/>
        <w:rPr>
          <w:sz w:val="24"/>
          <w:szCs w:val="24"/>
        </w:rPr>
      </w:pPr>
      <w:r>
        <w:rPr>
          <w:sz w:val="24"/>
          <w:szCs w:val="24"/>
        </w:rPr>
        <w:t xml:space="preserve">4.2.Практическото изпълнение на точка 4.1 се базира на оценка на въздействията, които се проявяват в рамките на идентифицираните аспекти на околната среда. Целесъобразно е въздействията да са с измерими параметри. </w:t>
      </w:r>
    </w:p>
    <w:p>
      <w:pPr>
        <w:pStyle w:val="Normal"/>
        <w:ind w:firstLine="720" w:end="0"/>
        <w:jc w:val="both"/>
        <w:rPr>
          <w:sz w:val="24"/>
          <w:szCs w:val="24"/>
          <w:lang w:val="bg-BG"/>
        </w:rPr>
      </w:pPr>
      <w:r>
        <w:rPr>
          <w:sz w:val="24"/>
          <w:szCs w:val="24"/>
          <w:lang w:val="bg-BG"/>
        </w:rPr>
      </w:r>
    </w:p>
    <w:p>
      <w:pPr>
        <w:pStyle w:val="Style12"/>
        <w:widowControl w:val="false"/>
        <w:numPr>
          <w:ilvl w:val="0"/>
          <w:numId w:val="0"/>
        </w:numPr>
        <w:ind w:firstLine="720" w:start="0" w:end="0"/>
        <w:rPr/>
      </w:pPr>
      <w:r>
        <w:rPr>
          <w:sz w:val="24"/>
          <w:szCs w:val="24"/>
        </w:rPr>
        <w:t>4.3.Работата по идентифицирането на аспектите се извършва от постоянно действаща група за Интегрираната система за управление, ръководена от Представителя на ръководството на Дружеството. Получените резултати се представят за утвърждаване от Управителя.</w:t>
      </w:r>
    </w:p>
    <w:p>
      <w:pPr>
        <w:pStyle w:val="Normal"/>
        <w:ind w:firstLine="720" w:end="0"/>
        <w:jc w:val="both"/>
        <w:rPr>
          <w:sz w:val="24"/>
          <w:szCs w:val="24"/>
        </w:rPr>
      </w:pPr>
      <w:r>
        <w:rPr>
          <w:sz w:val="24"/>
          <w:szCs w:val="24"/>
        </w:rPr>
      </w:r>
    </w:p>
    <w:p>
      <w:pPr>
        <w:pStyle w:val="Normal"/>
        <w:ind w:firstLine="720" w:end="0"/>
        <w:jc w:val="both"/>
        <w:rPr>
          <w:sz w:val="24"/>
          <w:szCs w:val="24"/>
        </w:rPr>
      </w:pPr>
      <w:r>
        <w:rPr>
          <w:sz w:val="24"/>
          <w:szCs w:val="24"/>
        </w:rPr>
        <w:t>4.4.На базата на идентификацията на аспектите (значителни или незначителни) се формулират общи и конкретни цели на околната среда, или се извършва тяхната актуализация. По същество постигане на целите по околната среда е практическо прилагане на обявената политика.</w:t>
      </w:r>
    </w:p>
    <w:p>
      <w:pPr>
        <w:pStyle w:val="Normal"/>
        <w:ind w:firstLine="720" w:end="0"/>
        <w:jc w:val="both"/>
        <w:rPr>
          <w:sz w:val="24"/>
          <w:szCs w:val="24"/>
        </w:rPr>
      </w:pPr>
      <w:r>
        <w:rPr>
          <w:sz w:val="24"/>
          <w:szCs w:val="24"/>
        </w:rPr>
      </w:r>
    </w:p>
    <w:p>
      <w:pPr>
        <w:pStyle w:val="Style12"/>
        <w:widowControl w:val="false"/>
        <w:numPr>
          <w:ilvl w:val="0"/>
          <w:numId w:val="0"/>
        </w:numPr>
        <w:ind w:firstLine="720" w:start="0" w:end="0"/>
        <w:rPr/>
      </w:pPr>
      <w:r>
        <w:rPr>
          <w:sz w:val="24"/>
          <w:szCs w:val="24"/>
        </w:rPr>
        <w:t>4.5.В зависимост от конкретната ситуация, за конкретно въздействие, проявяващо се в един или няколко аспекта на околната среда, се подготвя програма за управление или те се управляват оперативно. Крайната цел е отстраняване на това въздействие или ограничаването му до минимални граници.</w:t>
      </w:r>
    </w:p>
    <w:p>
      <w:pPr>
        <w:pStyle w:val="Style12"/>
        <w:widowControl w:val="false"/>
        <w:numPr>
          <w:ilvl w:val="0"/>
          <w:numId w:val="0"/>
        </w:numPr>
        <w:ind w:firstLine="720" w:start="0" w:end="0"/>
        <w:rPr>
          <w:sz w:val="24"/>
          <w:szCs w:val="24"/>
        </w:rPr>
      </w:pPr>
      <w:r>
        <w:rPr>
          <w:sz w:val="24"/>
          <w:szCs w:val="24"/>
        </w:rPr>
      </w:r>
    </w:p>
    <w:p>
      <w:pPr>
        <w:pStyle w:val="Normal"/>
        <w:ind w:firstLine="720" w:end="0"/>
        <w:jc w:val="both"/>
        <w:rPr>
          <w:sz w:val="24"/>
          <w:szCs w:val="24"/>
          <w:lang w:val="bg-BG"/>
        </w:rPr>
      </w:pPr>
      <w:r>
        <w:rPr>
          <w:sz w:val="24"/>
          <w:szCs w:val="24"/>
        </w:rPr>
        <w:t>4.</w:t>
      </w:r>
      <w:r>
        <w:rPr>
          <w:sz w:val="24"/>
          <w:szCs w:val="24"/>
          <w:lang w:val="bg-BG"/>
        </w:rPr>
        <w:t>6</w:t>
      </w:r>
      <w:r>
        <w:rPr>
          <w:sz w:val="24"/>
          <w:szCs w:val="24"/>
        </w:rPr>
        <w:t>.Един път в годината, се прави преоценка на аспектите на околната среда. Паралелно на това се извършва и оценка на съответствието им спрямо изискванията на действащото законодателство</w:t>
      </w:r>
      <w:r>
        <w:rPr>
          <w:sz w:val="24"/>
          <w:szCs w:val="24"/>
          <w:lang w:val="bg-BG"/>
        </w:rPr>
        <w:t>, като оценката на съответствието, спрямо националното законодателство се извършва в табличен вид и се утвърждава от висшето ръководство</w:t>
      </w:r>
      <w:r>
        <w:rPr>
          <w:sz w:val="24"/>
          <w:szCs w:val="24"/>
        </w:rPr>
        <w:t>.</w:t>
      </w:r>
    </w:p>
    <w:p>
      <w:pPr>
        <w:pStyle w:val="Normal"/>
        <w:ind w:firstLine="720" w:end="0"/>
        <w:jc w:val="both"/>
        <w:rPr>
          <w:sz w:val="24"/>
          <w:szCs w:val="24"/>
          <w:lang w:val="bg-BG"/>
        </w:rPr>
      </w:pPr>
      <w:r>
        <w:rPr>
          <w:sz w:val="24"/>
          <w:szCs w:val="24"/>
          <w:lang w:val="bg-BG"/>
        </w:rPr>
      </w:r>
    </w:p>
    <w:p>
      <w:pPr>
        <w:pStyle w:val="Normal"/>
        <w:ind w:firstLine="720" w:end="0"/>
        <w:jc w:val="both"/>
        <w:rPr>
          <w:sz w:val="24"/>
          <w:szCs w:val="24"/>
          <w:lang w:val="bg-BG"/>
        </w:rPr>
      </w:pPr>
      <w:r>
        <w:rPr>
          <w:sz w:val="24"/>
          <w:szCs w:val="24"/>
        </w:rPr>
        <w:t>4.</w:t>
      </w:r>
      <w:r>
        <w:rPr>
          <w:sz w:val="24"/>
          <w:szCs w:val="24"/>
          <w:lang w:val="bg-BG"/>
        </w:rPr>
        <w:t>7</w:t>
      </w:r>
      <w:r>
        <w:rPr>
          <w:sz w:val="24"/>
          <w:szCs w:val="24"/>
        </w:rPr>
        <w:t xml:space="preserve">.При всяка промяна в националното законодателство по околна среда, касаещо работата на </w:t>
      </w:r>
      <w:r>
        <w:rPr>
          <w:sz w:val="24"/>
          <w:szCs w:val="24"/>
          <w:lang w:val="bg-BG"/>
        </w:rPr>
        <w:t xml:space="preserve">„Братя Панчеви“ ООД </w:t>
      </w:r>
      <w:r>
        <w:rPr>
          <w:sz w:val="24"/>
          <w:szCs w:val="24"/>
        </w:rPr>
        <w:t xml:space="preserve">също се </w:t>
      </w:r>
      <w:r>
        <w:rPr>
          <w:sz w:val="24"/>
          <w:szCs w:val="24"/>
          <w:lang w:val="bg-BG"/>
        </w:rPr>
        <w:t xml:space="preserve">прави </w:t>
      </w:r>
      <w:r>
        <w:rPr>
          <w:sz w:val="24"/>
          <w:szCs w:val="24"/>
        </w:rPr>
        <w:t xml:space="preserve">оценка за възможностите за съответствие спрямо новите законови изисквания. По аналогичен начин стои въпроса и при промяна на изисквания в националната или международна стандартизация по околна среда, както по оценка на съответствието спрямо допълнително поети от Дружеството ангажименти по околната среда. </w:t>
      </w:r>
    </w:p>
    <w:p>
      <w:pPr>
        <w:pStyle w:val="Normal"/>
        <w:ind w:firstLine="720" w:end="0"/>
        <w:jc w:val="both"/>
        <w:rPr>
          <w:sz w:val="24"/>
          <w:szCs w:val="24"/>
          <w:lang w:val="bg-BG"/>
        </w:rPr>
      </w:pPr>
      <w:r>
        <w:rPr>
          <w:sz w:val="24"/>
          <w:szCs w:val="24"/>
          <w:lang w:val="bg-BG"/>
        </w:rPr>
      </w:r>
    </w:p>
    <w:p>
      <w:pPr>
        <w:pStyle w:val="Normal"/>
        <w:ind w:firstLine="720" w:end="0"/>
        <w:jc w:val="both"/>
        <w:rPr>
          <w:sz w:val="24"/>
          <w:szCs w:val="24"/>
          <w:lang w:val="bg-BG"/>
        </w:rPr>
      </w:pPr>
      <w:r>
        <w:rPr>
          <w:sz w:val="24"/>
          <w:szCs w:val="24"/>
        </w:rPr>
        <w:t>4.</w:t>
      </w:r>
      <w:r>
        <w:rPr>
          <w:sz w:val="24"/>
          <w:szCs w:val="24"/>
          <w:lang w:val="bg-BG"/>
        </w:rPr>
        <w:t>8</w:t>
      </w:r>
      <w:r>
        <w:rPr>
          <w:sz w:val="24"/>
          <w:szCs w:val="24"/>
        </w:rPr>
        <w:t>.В работата по оценка на съответствието се използват разнообразни методи, включително такива процеси, като:</w:t>
      </w:r>
    </w:p>
    <w:p>
      <w:pPr>
        <w:pStyle w:val="Normal"/>
        <w:ind w:firstLine="720" w:end="0"/>
        <w:jc w:val="both"/>
        <w:rPr>
          <w:sz w:val="24"/>
          <w:szCs w:val="24"/>
          <w:lang w:val="bg-BG"/>
        </w:rPr>
      </w:pPr>
      <w:r>
        <w:rPr>
          <w:sz w:val="24"/>
          <w:szCs w:val="24"/>
          <w:lang w:val="bg-BG"/>
        </w:rPr>
      </w:r>
    </w:p>
    <w:p>
      <w:pPr>
        <w:pStyle w:val="Normal"/>
        <w:widowControl w:val="false"/>
        <w:numPr>
          <w:ilvl w:val="0"/>
          <w:numId w:val="3"/>
        </w:numPr>
        <w:tabs>
          <w:tab w:val="clear" w:pos="720"/>
          <w:tab w:val="left" w:pos="1134" w:leader="none"/>
        </w:tabs>
        <w:spacing w:before="60" w:after="0"/>
        <w:ind w:hanging="734" w:start="1440" w:end="0"/>
        <w:jc w:val="both"/>
        <w:rPr>
          <w:sz w:val="24"/>
          <w:szCs w:val="24"/>
        </w:rPr>
      </w:pPr>
      <w:r>
        <w:rPr>
          <w:sz w:val="24"/>
          <w:szCs w:val="24"/>
        </w:rPr>
        <w:t>Вътрешни одити</w:t>
      </w:r>
    </w:p>
    <w:p>
      <w:pPr>
        <w:pStyle w:val="Normal"/>
        <w:widowControl w:val="false"/>
        <w:numPr>
          <w:ilvl w:val="0"/>
          <w:numId w:val="3"/>
        </w:numPr>
        <w:tabs>
          <w:tab w:val="clear" w:pos="720"/>
          <w:tab w:val="left" w:pos="1134" w:leader="none"/>
        </w:tabs>
        <w:spacing w:before="60" w:after="0"/>
        <w:ind w:hanging="734" w:start="1440" w:end="0"/>
        <w:jc w:val="both"/>
        <w:rPr>
          <w:sz w:val="24"/>
          <w:szCs w:val="24"/>
        </w:rPr>
      </w:pPr>
      <w:r>
        <w:rPr>
          <w:sz w:val="24"/>
          <w:szCs w:val="24"/>
        </w:rPr>
        <w:t>Преглед на документите и/или записите</w:t>
      </w:r>
    </w:p>
    <w:p>
      <w:pPr>
        <w:pStyle w:val="Normal"/>
        <w:widowControl w:val="false"/>
        <w:numPr>
          <w:ilvl w:val="0"/>
          <w:numId w:val="3"/>
        </w:numPr>
        <w:tabs>
          <w:tab w:val="clear" w:pos="720"/>
          <w:tab w:val="left" w:pos="1134" w:leader="none"/>
        </w:tabs>
        <w:spacing w:before="60" w:after="0"/>
        <w:ind w:firstLine="706" w:start="0" w:end="0"/>
        <w:jc w:val="both"/>
        <w:rPr>
          <w:sz w:val="24"/>
          <w:szCs w:val="24"/>
        </w:rPr>
      </w:pPr>
      <w:r>
        <w:rPr>
          <w:sz w:val="24"/>
          <w:szCs w:val="24"/>
        </w:rPr>
        <w:t>Редовен анализ на извадки или на резултати от изпитвания и/или измервания</w:t>
      </w:r>
      <w:r>
        <w:rPr>
          <w:sz w:val="24"/>
          <w:szCs w:val="24"/>
          <w:lang w:val="bg-BG"/>
        </w:rPr>
        <w:t xml:space="preserve"> </w:t>
      </w:r>
      <w:r>
        <w:rPr>
          <w:sz w:val="24"/>
          <w:szCs w:val="24"/>
        </w:rPr>
        <w:t xml:space="preserve">и прилежащите работни инструкции, както и при прилагането на работните инструкции от </w:t>
      </w:r>
      <w:r>
        <w:rPr>
          <w:sz w:val="24"/>
          <w:szCs w:val="24"/>
          <w:lang w:val="bg-BG"/>
        </w:rPr>
        <w:t>ИСУ</w:t>
      </w:r>
      <w:r>
        <w:rPr>
          <w:sz w:val="24"/>
          <w:szCs w:val="24"/>
        </w:rPr>
        <w:t>.</w:t>
      </w:r>
    </w:p>
    <w:p>
      <w:pPr>
        <w:pStyle w:val="Normal"/>
        <w:ind w:firstLine="720" w:end="0"/>
        <w:jc w:val="both"/>
        <w:rPr>
          <w:sz w:val="24"/>
          <w:szCs w:val="24"/>
        </w:rPr>
      </w:pPr>
      <w:r>
        <w:rPr>
          <w:sz w:val="24"/>
          <w:szCs w:val="24"/>
        </w:rPr>
      </w:r>
    </w:p>
    <w:p>
      <w:pPr>
        <w:pStyle w:val="Normal"/>
        <w:ind w:firstLine="720" w:end="0"/>
        <w:jc w:val="both"/>
        <w:rPr/>
      </w:pPr>
      <w:r>
        <w:rPr>
          <w:sz w:val="24"/>
          <w:szCs w:val="24"/>
        </w:rPr>
        <w:t>4.</w:t>
      </w:r>
      <w:r>
        <w:rPr>
          <w:sz w:val="24"/>
          <w:szCs w:val="24"/>
          <w:lang w:val="bg-BG"/>
        </w:rPr>
        <w:t>9</w:t>
      </w:r>
      <w:r>
        <w:rPr>
          <w:sz w:val="24"/>
          <w:szCs w:val="24"/>
        </w:rPr>
        <w:t xml:space="preserve">.В процеса на оценката на съответствията се спазват отговорностите и пълномощията на персонала от </w:t>
      </w:r>
      <w:r>
        <w:rPr>
          <w:sz w:val="24"/>
          <w:szCs w:val="24"/>
          <w:lang w:val="bg-BG"/>
        </w:rPr>
        <w:t>Дружеството</w:t>
      </w:r>
      <w:r>
        <w:rPr>
          <w:sz w:val="24"/>
          <w:szCs w:val="24"/>
        </w:rPr>
        <w:t>.</w:t>
      </w:r>
    </w:p>
    <w:p>
      <w:pPr>
        <w:pStyle w:val="Normal"/>
        <w:ind w:firstLine="720" w:end="0"/>
        <w:jc w:val="both"/>
        <w:rPr>
          <w:sz w:val="24"/>
          <w:szCs w:val="24"/>
        </w:rPr>
      </w:pPr>
      <w:r>
        <w:rPr>
          <w:sz w:val="24"/>
          <w:szCs w:val="24"/>
        </w:rPr>
      </w:r>
    </w:p>
    <w:p>
      <w:pPr>
        <w:pStyle w:val="Normal"/>
        <w:ind w:firstLine="720" w:end="0"/>
        <w:jc w:val="both"/>
        <w:rPr/>
      </w:pPr>
      <w:r>
        <w:rPr>
          <w:sz w:val="24"/>
          <w:szCs w:val="24"/>
        </w:rPr>
        <w:t>4.</w:t>
      </w:r>
      <w:r>
        <w:rPr>
          <w:sz w:val="24"/>
          <w:szCs w:val="24"/>
          <w:lang w:val="bg-BG"/>
        </w:rPr>
        <w:t>10</w:t>
      </w:r>
      <w:r>
        <w:rPr>
          <w:sz w:val="24"/>
          <w:szCs w:val="24"/>
        </w:rPr>
        <w:t>.Честотата на провежданите прегледи за оценяване на съответствието може да бъде повлияна от различни фактори, като предишни резултати относно съответствието или конкретни правни изисквания. В зависимост от конкретната ситуация може да се окаже полезно наличието на независим преглед, провеждан периодично от външни експерти. Програмата за оценяване на съответствието може да бъде съчетана с други дейности за оценяване.</w:t>
      </w:r>
      <w:r>
        <w:rPr>
          <w:sz w:val="24"/>
          <w:szCs w:val="24"/>
          <w:lang w:val="bg-BG"/>
        </w:rPr>
        <w:t xml:space="preserve"> </w:t>
      </w:r>
    </w:p>
    <w:p>
      <w:pPr>
        <w:pStyle w:val="Normal"/>
        <w:ind w:firstLine="720" w:end="0"/>
        <w:rPr>
          <w:sz w:val="24"/>
          <w:szCs w:val="24"/>
          <w:lang w:val="bg-BG"/>
        </w:rPr>
      </w:pPr>
      <w:r>
        <w:rPr>
          <w:sz w:val="24"/>
          <w:szCs w:val="24"/>
          <w:lang w:val="bg-BG"/>
        </w:rPr>
      </w:r>
    </w:p>
    <w:p>
      <w:pPr>
        <w:pStyle w:val="Normal"/>
        <w:ind w:firstLine="720" w:end="0"/>
        <w:jc w:val="both"/>
        <w:rPr/>
      </w:pPr>
      <w:r>
        <w:rPr>
          <w:sz w:val="24"/>
          <w:szCs w:val="24"/>
          <w:lang w:val="bg-BG"/>
        </w:rPr>
        <w:t xml:space="preserve">4.11.Воденето на записи по околната среда, свързани с провежданите оценки за съответствие. За целта се ползват бланки и формуляри, регламентирани в настоящата процедура. </w:t>
      </w:r>
      <w:r>
        <w:rPr>
          <w:sz w:val="24"/>
          <w:szCs w:val="24"/>
        </w:rPr>
        <w:t>В зависимост от конкретната ситуация се ползват и външни формуляри, регламентирани от националното законодателство по околна среда.</w:t>
      </w:r>
    </w:p>
    <w:p>
      <w:pPr>
        <w:pStyle w:val="Normal"/>
        <w:ind w:firstLine="720" w:end="0"/>
        <w:rPr>
          <w:sz w:val="24"/>
          <w:szCs w:val="24"/>
          <w:lang w:val="bg-BG"/>
        </w:rPr>
      </w:pPr>
      <w:r>
        <w:rPr>
          <w:sz w:val="24"/>
          <w:szCs w:val="24"/>
          <w:lang w:val="bg-BG"/>
        </w:rPr>
      </w:r>
    </w:p>
    <w:p>
      <w:pPr>
        <w:pStyle w:val="Normal"/>
        <w:ind w:firstLine="720" w:end="0"/>
        <w:jc w:val="both"/>
        <w:rPr>
          <w:sz w:val="24"/>
          <w:szCs w:val="24"/>
          <w:lang w:val="bg-BG"/>
        </w:rPr>
      </w:pPr>
      <w:r>
        <w:rPr>
          <w:sz w:val="24"/>
          <w:szCs w:val="24"/>
        </w:rPr>
        <w:t>4.</w:t>
      </w:r>
      <w:r>
        <w:rPr>
          <w:sz w:val="24"/>
          <w:szCs w:val="24"/>
          <w:lang w:val="bg-BG"/>
        </w:rPr>
        <w:t>12</w:t>
      </w:r>
      <w:r>
        <w:rPr>
          <w:sz w:val="24"/>
          <w:szCs w:val="24"/>
        </w:rPr>
        <w:t xml:space="preserve">.Получаваните резултати от оценките за съответствие се използват като входни данни при провежданите прегледи от страна на </w:t>
      </w:r>
      <w:r>
        <w:rPr>
          <w:sz w:val="24"/>
          <w:szCs w:val="24"/>
          <w:lang w:val="bg-BG"/>
        </w:rPr>
        <w:t>В</w:t>
      </w:r>
      <w:r>
        <w:rPr>
          <w:sz w:val="24"/>
          <w:szCs w:val="24"/>
        </w:rPr>
        <w:t xml:space="preserve">исшето ръководство. Предварително тези резултати, под ръководството на </w:t>
      </w:r>
      <w:r>
        <w:rPr>
          <w:sz w:val="24"/>
          <w:szCs w:val="24"/>
          <w:lang w:val="bg-BG"/>
        </w:rPr>
        <w:t>Пълномощника на ИСУ</w:t>
      </w:r>
      <w:r>
        <w:rPr>
          <w:sz w:val="24"/>
          <w:szCs w:val="24"/>
        </w:rPr>
        <w:t>, са подходящо интерпретирани. Целта е да се получат обобщени данни за практическо провеждане на политиката по околна среда и конкретна екологична резултатност от нея.</w:t>
      </w:r>
      <w:r>
        <w:br w:type="page"/>
      </w:r>
    </w:p>
    <w:p>
      <w:pPr>
        <w:pStyle w:val="Normal"/>
        <w:jc w:val="both"/>
        <w:rPr/>
      </w:pPr>
      <w:r>
        <w:rPr>
          <w:b/>
          <w:sz w:val="24"/>
          <w:szCs w:val="24"/>
        </w:rPr>
        <w:t>5.</w:t>
      </w:r>
      <w:r>
        <w:rPr>
          <w:b/>
          <w:sz w:val="24"/>
          <w:szCs w:val="24"/>
          <w:lang w:val="bg-BG"/>
        </w:rPr>
        <w:t xml:space="preserve"> </w:t>
      </w:r>
      <w:r>
        <w:rPr>
          <w:b/>
          <w:sz w:val="24"/>
          <w:szCs w:val="24"/>
        </w:rPr>
        <w:t>ДЕЙНОСТИ, ОТГОВОРНОСТИ И ПЪЛНОМОЩИЯ.</w:t>
      </w:r>
    </w:p>
    <w:p>
      <w:pPr>
        <w:pStyle w:val="Normal"/>
        <w:ind w:firstLine="720" w:end="0"/>
        <w:jc w:val="both"/>
        <w:rPr>
          <w:b/>
          <w:sz w:val="24"/>
          <w:szCs w:val="24"/>
        </w:rPr>
      </w:pPr>
      <w:r>
        <w:rPr>
          <w:b/>
          <w:sz w:val="24"/>
          <w:szCs w:val="24"/>
        </w:rPr>
      </w:r>
    </w:p>
    <w:p>
      <w:pPr>
        <w:pStyle w:val="21"/>
        <w:ind w:firstLine="720" w:end="0"/>
        <w:rPr>
          <w:sz w:val="24"/>
          <w:szCs w:val="24"/>
        </w:rPr>
      </w:pPr>
      <w:r>
        <w:rPr>
          <w:sz w:val="24"/>
          <w:szCs w:val="24"/>
        </w:rPr>
        <w:t>Отговорностите и пълномощията в дейностите по идентификацията на аспектите на околната среда са регламентирани в дадената по-долу таблица.</w:t>
      </w:r>
    </w:p>
    <w:p>
      <w:pPr>
        <w:pStyle w:val="21"/>
        <w:ind w:firstLine="720" w:end="0"/>
        <w:rPr>
          <w:sz w:val="24"/>
          <w:szCs w:val="24"/>
        </w:rPr>
      </w:pPr>
      <w:r>
        <w:rPr>
          <w:sz w:val="24"/>
          <w:szCs w:val="24"/>
        </w:rPr>
      </w:r>
    </w:p>
    <w:p>
      <w:pPr>
        <w:pStyle w:val="Normal"/>
        <w:jc w:val="center"/>
        <w:rPr>
          <w:b/>
          <w:sz w:val="24"/>
          <w:szCs w:val="24"/>
        </w:rPr>
      </w:pPr>
      <w:r>
        <w:rPr>
          <w:b/>
          <w:sz w:val="24"/>
          <w:szCs w:val="24"/>
        </w:rPr>
        <w:t>МАТРИЦА ЗА ДЕЙНОСТИ, ОТГОВОРНОСТИ И ПЪЛНОМОЩИЯ</w:t>
      </w:r>
    </w:p>
    <w:p>
      <w:pPr>
        <w:pStyle w:val="Normal"/>
        <w:rPr>
          <w:b/>
          <w:sz w:val="24"/>
          <w:szCs w:val="24"/>
        </w:rPr>
      </w:pPr>
      <w:r>
        <w:rPr>
          <w:b/>
          <w:sz w:val="24"/>
          <w:szCs w:val="24"/>
        </w:rPr>
      </w:r>
    </w:p>
    <w:tbl>
      <w:tblPr>
        <w:tblW w:w="10006" w:type="dxa"/>
        <w:jc w:val="center"/>
        <w:tblInd w:w="0" w:type="dxa"/>
        <w:tblLayout w:type="fixed"/>
        <w:tblCellMar>
          <w:top w:w="0" w:type="dxa"/>
          <w:start w:w="28" w:type="dxa"/>
          <w:bottom w:w="0" w:type="dxa"/>
          <w:end w:w="28" w:type="dxa"/>
        </w:tblCellMar>
      </w:tblPr>
      <w:tblGrid>
        <w:gridCol w:w="851"/>
        <w:gridCol w:w="3813"/>
        <w:gridCol w:w="1290"/>
        <w:gridCol w:w="1262"/>
        <w:gridCol w:w="1417"/>
        <w:gridCol w:w="1373"/>
      </w:tblGrid>
      <w:tr>
        <w:trPr>
          <w:trHeight w:val="200" w:hRule="atLeast"/>
        </w:trPr>
        <w:tc>
          <w:tcPr>
            <w:tcW w:w="851" w:type="dxa"/>
            <w:vMerge w:val="restart"/>
            <w:tcBorders>
              <w:top w:val="single" w:sz="6" w:space="0" w:color="000000"/>
              <w:start w:val="single" w:sz="6" w:space="0" w:color="000000"/>
              <w:end w:val="single" w:sz="6" w:space="0" w:color="000000"/>
            </w:tcBorders>
            <w:vAlign w:val="center"/>
          </w:tcPr>
          <w:p>
            <w:pPr>
              <w:pStyle w:val="Normal"/>
              <w:jc w:val="center"/>
              <w:rPr>
                <w:sz w:val="24"/>
                <w:szCs w:val="24"/>
                <w:lang w:val="bg-BG"/>
              </w:rPr>
            </w:pPr>
            <w:r>
              <w:rPr>
                <w:b/>
                <w:sz w:val="24"/>
                <w:szCs w:val="24"/>
                <w:lang w:val="bg-BG"/>
              </w:rPr>
              <w:t>№</w:t>
            </w:r>
          </w:p>
        </w:tc>
        <w:tc>
          <w:tcPr>
            <w:tcW w:w="3813" w:type="dxa"/>
            <w:vMerge w:val="restart"/>
            <w:tcBorders>
              <w:top w:val="single" w:sz="6" w:space="0" w:color="000000"/>
              <w:end w:val="single" w:sz="6" w:space="0" w:color="000000"/>
            </w:tcBorders>
            <w:vAlign w:val="center"/>
          </w:tcPr>
          <w:p>
            <w:pPr>
              <w:pStyle w:val="Normal"/>
              <w:jc w:val="center"/>
              <w:rPr>
                <w:sz w:val="24"/>
                <w:szCs w:val="24"/>
              </w:rPr>
            </w:pPr>
            <w:r>
              <w:rPr>
                <w:b/>
                <w:sz w:val="24"/>
                <w:szCs w:val="24"/>
              </w:rPr>
              <w:t>ДЕЙНОСТИ</w:t>
            </w:r>
          </w:p>
        </w:tc>
        <w:tc>
          <w:tcPr>
            <w:tcW w:w="5342" w:type="dxa"/>
            <w:gridSpan w:val="4"/>
            <w:tcBorders>
              <w:top w:val="single" w:sz="6" w:space="0" w:color="000000"/>
              <w:end w:val="single" w:sz="6" w:space="0" w:color="000000"/>
            </w:tcBorders>
            <w:vAlign w:val="center"/>
          </w:tcPr>
          <w:p>
            <w:pPr>
              <w:pStyle w:val="Normal"/>
              <w:jc w:val="center"/>
              <w:rPr>
                <w:b/>
                <w:sz w:val="24"/>
                <w:szCs w:val="24"/>
              </w:rPr>
            </w:pPr>
            <w:r>
              <w:rPr>
                <w:b/>
                <w:sz w:val="24"/>
                <w:szCs w:val="24"/>
              </w:rPr>
              <w:t>ОТГОВОРНОСТИ И ПЪЛНОМОЩИЯ</w:t>
            </w:r>
          </w:p>
        </w:tc>
      </w:tr>
      <w:tr>
        <w:trPr/>
        <w:tc>
          <w:tcPr>
            <w:tcW w:w="851" w:type="dxa"/>
            <w:vMerge w:val="continue"/>
            <w:tcBorders>
              <w:top w:val="single" w:sz="6" w:space="0" w:color="000000"/>
              <w:start w:val="single" w:sz="6" w:space="0" w:color="000000"/>
              <w:end w:val="single" w:sz="6" w:space="0" w:color="000000"/>
            </w:tcBorders>
            <w:vAlign w:val="center"/>
          </w:tcPr>
          <w:p>
            <w:pPr>
              <w:pStyle w:val="Normal"/>
              <w:snapToGrid w:val="false"/>
              <w:jc w:val="center"/>
              <w:rPr>
                <w:b/>
                <w:sz w:val="24"/>
                <w:szCs w:val="24"/>
                <w:lang w:val="en-GB"/>
              </w:rPr>
            </w:pPr>
            <w:r>
              <w:rPr>
                <w:b/>
                <w:sz w:val="24"/>
                <w:szCs w:val="24"/>
                <w:lang w:val="en-GB"/>
              </w:rPr>
            </w:r>
          </w:p>
        </w:tc>
        <w:tc>
          <w:tcPr>
            <w:tcW w:w="3813" w:type="dxa"/>
            <w:vMerge w:val="continue"/>
            <w:tcBorders>
              <w:top w:val="single" w:sz="6" w:space="0" w:color="000000"/>
              <w:end w:val="single" w:sz="6" w:space="0" w:color="000000"/>
            </w:tcBorders>
            <w:vAlign w:val="center"/>
          </w:tcPr>
          <w:p>
            <w:pPr>
              <w:pStyle w:val="Normal"/>
              <w:snapToGrid w:val="false"/>
              <w:jc w:val="center"/>
              <w:rPr>
                <w:sz w:val="24"/>
                <w:szCs w:val="24"/>
              </w:rPr>
            </w:pPr>
            <w:r>
              <w:rPr>
                <w:sz w:val="24"/>
                <w:szCs w:val="24"/>
              </w:rPr>
            </w:r>
          </w:p>
        </w:tc>
        <w:tc>
          <w:tcPr>
            <w:tcW w:w="1290" w:type="dxa"/>
            <w:tcBorders>
              <w:top w:val="single" w:sz="6" w:space="0" w:color="000000"/>
              <w:bottom w:val="double" w:sz="6" w:space="0" w:color="000000"/>
              <w:end w:val="single" w:sz="6" w:space="0" w:color="000000"/>
            </w:tcBorders>
            <w:vAlign w:val="center"/>
          </w:tcPr>
          <w:p>
            <w:pPr>
              <w:pStyle w:val="Normal"/>
              <w:jc w:val="center"/>
              <w:rPr>
                <w:b/>
                <w:sz w:val="24"/>
                <w:szCs w:val="24"/>
              </w:rPr>
            </w:pPr>
            <w:r>
              <w:rPr>
                <w:b/>
                <w:sz w:val="24"/>
                <w:szCs w:val="24"/>
              </w:rPr>
              <w:t>Р</w:t>
            </w:r>
          </w:p>
        </w:tc>
        <w:tc>
          <w:tcPr>
            <w:tcW w:w="1262" w:type="dxa"/>
            <w:tcBorders>
              <w:top w:val="single" w:sz="6" w:space="0" w:color="000000"/>
              <w:start w:val="single" w:sz="6" w:space="0" w:color="000000"/>
              <w:bottom w:val="double" w:sz="6" w:space="0" w:color="000000"/>
              <w:end w:val="single" w:sz="6" w:space="0" w:color="000000"/>
            </w:tcBorders>
            <w:vAlign w:val="center"/>
          </w:tcPr>
          <w:p>
            <w:pPr>
              <w:pStyle w:val="Normal"/>
              <w:jc w:val="center"/>
              <w:rPr>
                <w:b/>
                <w:sz w:val="24"/>
                <w:szCs w:val="24"/>
              </w:rPr>
            </w:pPr>
            <w:r>
              <w:rPr>
                <w:b/>
                <w:sz w:val="24"/>
                <w:szCs w:val="24"/>
              </w:rPr>
              <w:t>О</w:t>
            </w:r>
          </w:p>
        </w:tc>
        <w:tc>
          <w:tcPr>
            <w:tcW w:w="1417" w:type="dxa"/>
            <w:tcBorders>
              <w:top w:val="single" w:sz="6" w:space="0" w:color="000000"/>
              <w:start w:val="single" w:sz="6" w:space="0" w:color="000000"/>
              <w:bottom w:val="double" w:sz="6" w:space="0" w:color="000000"/>
              <w:end w:val="single" w:sz="6" w:space="0" w:color="000000"/>
            </w:tcBorders>
            <w:vAlign w:val="center"/>
          </w:tcPr>
          <w:p>
            <w:pPr>
              <w:pStyle w:val="Normal"/>
              <w:jc w:val="center"/>
              <w:rPr>
                <w:b/>
                <w:sz w:val="24"/>
                <w:szCs w:val="24"/>
              </w:rPr>
            </w:pPr>
            <w:r>
              <w:rPr>
                <w:b/>
                <w:sz w:val="24"/>
                <w:szCs w:val="24"/>
              </w:rPr>
              <w:t>С</w:t>
            </w:r>
          </w:p>
        </w:tc>
        <w:tc>
          <w:tcPr>
            <w:tcW w:w="1373" w:type="dxa"/>
            <w:tcBorders>
              <w:top w:val="single" w:sz="6" w:space="0" w:color="000000"/>
              <w:start w:val="single" w:sz="6" w:space="0" w:color="000000"/>
              <w:bottom w:val="double" w:sz="6" w:space="0" w:color="000000"/>
              <w:end w:val="single" w:sz="6" w:space="0" w:color="000000"/>
            </w:tcBorders>
            <w:vAlign w:val="center"/>
          </w:tcPr>
          <w:p>
            <w:pPr>
              <w:pStyle w:val="Normal"/>
              <w:jc w:val="center"/>
              <w:rPr>
                <w:b/>
                <w:sz w:val="24"/>
                <w:szCs w:val="24"/>
              </w:rPr>
            </w:pPr>
            <w:r>
              <w:rPr>
                <w:b/>
                <w:sz w:val="24"/>
                <w:szCs w:val="24"/>
              </w:rPr>
              <w:t>И</w:t>
            </w:r>
          </w:p>
        </w:tc>
      </w:tr>
      <w:tr>
        <w:trPr/>
        <w:tc>
          <w:tcPr>
            <w:tcW w:w="851" w:type="dxa"/>
            <w:tcBorders>
              <w:top w:val="double" w:sz="6" w:space="0" w:color="000000"/>
              <w:start w:val="single" w:sz="6" w:space="0" w:color="000000"/>
              <w:end w:val="single" w:sz="6" w:space="0" w:color="000000"/>
            </w:tcBorders>
            <w:tcMar>
              <w:start w:w="113" w:type="dxa"/>
              <w:end w:w="113" w:type="dxa"/>
            </w:tcMar>
            <w:vAlign w:val="center"/>
          </w:tcPr>
          <w:p>
            <w:pPr>
              <w:pStyle w:val="Normal"/>
              <w:jc w:val="center"/>
              <w:rPr>
                <w:sz w:val="24"/>
                <w:szCs w:val="24"/>
              </w:rPr>
            </w:pPr>
            <w:r>
              <w:rPr>
                <w:sz w:val="24"/>
                <w:szCs w:val="24"/>
              </w:rPr>
              <w:t>1.</w:t>
            </w:r>
          </w:p>
        </w:tc>
        <w:tc>
          <w:tcPr>
            <w:tcW w:w="3813" w:type="dxa"/>
            <w:tcBorders>
              <w:top w:val="double" w:sz="6" w:space="0" w:color="000000"/>
              <w:start w:val="single" w:sz="6" w:space="0" w:color="000000"/>
              <w:end w:val="single" w:sz="6" w:space="0" w:color="000000"/>
            </w:tcBorders>
            <w:tcMar>
              <w:start w:w="113" w:type="dxa"/>
              <w:end w:w="113" w:type="dxa"/>
            </w:tcMar>
            <w:vAlign w:val="center"/>
          </w:tcPr>
          <w:p>
            <w:pPr>
              <w:pStyle w:val="Style12"/>
              <w:widowControl w:val="false"/>
              <w:numPr>
                <w:ilvl w:val="0"/>
                <w:numId w:val="0"/>
              </w:numPr>
              <w:ind w:hanging="0" w:start="0"/>
              <w:rPr>
                <w:sz w:val="24"/>
                <w:szCs w:val="24"/>
              </w:rPr>
            </w:pPr>
            <w:r>
              <w:rPr>
                <w:sz w:val="24"/>
                <w:szCs w:val="24"/>
              </w:rPr>
              <w:t>Преглед на технологичния ред на дейностите, продуктите и услугите</w:t>
            </w:r>
          </w:p>
        </w:tc>
        <w:tc>
          <w:tcPr>
            <w:tcW w:w="1290" w:type="dxa"/>
            <w:tcBorders>
              <w:top w:val="double" w:sz="6" w:space="0" w:color="000000"/>
              <w:start w:val="sing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ПИСУ</w:t>
            </w:r>
          </w:p>
        </w:tc>
        <w:tc>
          <w:tcPr>
            <w:tcW w:w="1262" w:type="dxa"/>
            <w:tcBorders>
              <w:top w:val="double" w:sz="6" w:space="0" w:color="000000"/>
              <w:start w:val="single" w:sz="6" w:space="0" w:color="000000"/>
              <w:end w:val="single" w:sz="6" w:space="0" w:color="000000"/>
            </w:tcBorders>
            <w:tcMar>
              <w:start w:w="113" w:type="dxa"/>
              <w:end w:w="113" w:type="dxa"/>
            </w:tcMar>
            <w:vAlign w:val="center"/>
          </w:tcPr>
          <w:p>
            <w:pPr>
              <w:pStyle w:val="Normal"/>
              <w:jc w:val="center"/>
              <w:rPr>
                <w:sz w:val="24"/>
                <w:szCs w:val="24"/>
              </w:rPr>
            </w:pPr>
            <w:r>
              <w:rPr>
                <w:sz w:val="24"/>
                <w:szCs w:val="24"/>
              </w:rPr>
              <w:t>ПДГ</w:t>
            </w:r>
            <w:r>
              <w:rPr>
                <w:sz w:val="24"/>
                <w:szCs w:val="24"/>
                <w:lang w:val="bg-BG"/>
              </w:rPr>
              <w:t>ИСУ</w:t>
            </w:r>
          </w:p>
        </w:tc>
        <w:tc>
          <w:tcPr>
            <w:tcW w:w="1417" w:type="dxa"/>
            <w:tcBorders>
              <w:top w:val="double" w:sz="6" w:space="0" w:color="000000"/>
              <w:start w:val="single" w:sz="6" w:space="0" w:color="000000"/>
              <w:end w:val="single" w:sz="6" w:space="0" w:color="000000"/>
            </w:tcBorders>
            <w:tcMar>
              <w:start w:w="113" w:type="dxa"/>
              <w:end w:w="113" w:type="dxa"/>
            </w:tcMar>
            <w:vAlign w:val="center"/>
          </w:tcPr>
          <w:p>
            <w:pPr>
              <w:pStyle w:val="Normal"/>
              <w:jc w:val="center"/>
              <w:rPr>
                <w:sz w:val="24"/>
                <w:szCs w:val="24"/>
              </w:rPr>
            </w:pPr>
            <w:r>
              <w:rPr>
                <w:sz w:val="24"/>
                <w:szCs w:val="24"/>
                <w:lang w:val="bg-BG"/>
              </w:rPr>
              <w:t>РП</w:t>
            </w:r>
          </w:p>
        </w:tc>
        <w:tc>
          <w:tcPr>
            <w:tcW w:w="1373" w:type="dxa"/>
            <w:tcBorders>
              <w:top w:val="double" w:sz="6" w:space="0" w:color="000000"/>
              <w:start w:val="single" w:sz="6" w:space="0" w:color="000000"/>
              <w:end w:val="single" w:sz="6" w:space="0" w:color="000000"/>
            </w:tcBorders>
            <w:tcMar>
              <w:start w:w="113" w:type="dxa"/>
              <w:end w:w="113" w:type="dxa"/>
            </w:tcMar>
            <w:vAlign w:val="center"/>
          </w:tcPr>
          <w:p>
            <w:pPr>
              <w:pStyle w:val="Normal"/>
              <w:jc w:val="center"/>
              <w:rPr>
                <w:sz w:val="24"/>
                <w:szCs w:val="24"/>
              </w:rPr>
            </w:pPr>
            <w:r>
              <w:rPr>
                <w:sz w:val="24"/>
                <w:szCs w:val="24"/>
                <w:lang w:val="bg-BG"/>
              </w:rPr>
              <w:t>У</w:t>
            </w:r>
          </w:p>
        </w:tc>
      </w:tr>
      <w:tr>
        <w:trPr/>
        <w:tc>
          <w:tcPr>
            <w:tcW w:w="851"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rPr>
            </w:pPr>
            <w:r>
              <w:rPr>
                <w:sz w:val="24"/>
                <w:szCs w:val="24"/>
              </w:rPr>
              <w:t>2.</w:t>
            </w:r>
          </w:p>
        </w:tc>
        <w:tc>
          <w:tcPr>
            <w:tcW w:w="381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both"/>
              <w:rPr>
                <w:sz w:val="24"/>
                <w:szCs w:val="24"/>
              </w:rPr>
            </w:pPr>
            <w:r>
              <w:rPr>
                <w:sz w:val="24"/>
                <w:szCs w:val="24"/>
              </w:rPr>
              <w:t>Идентифициране на аспектите на околната среда и оценка на тяхното въздействие</w:t>
            </w:r>
          </w:p>
        </w:tc>
        <w:tc>
          <w:tcPr>
            <w:tcW w:w="1290"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У</w:t>
            </w:r>
          </w:p>
        </w:tc>
        <w:tc>
          <w:tcPr>
            <w:tcW w:w="1262"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ПДГИСУ</w:t>
            </w:r>
          </w:p>
        </w:tc>
        <w:tc>
          <w:tcPr>
            <w:tcW w:w="1417"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rPr>
            </w:pPr>
            <w:r>
              <w:rPr>
                <w:sz w:val="24"/>
                <w:szCs w:val="24"/>
                <w:lang w:val="bg-BG"/>
              </w:rPr>
              <w:t>ПИСУ</w:t>
            </w:r>
          </w:p>
        </w:tc>
        <w:tc>
          <w:tcPr>
            <w:tcW w:w="137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pPr>
            <w:r>
              <w:rPr>
                <w:sz w:val="24"/>
                <w:szCs w:val="24"/>
                <w:lang w:val="bg-BG"/>
              </w:rPr>
              <w:t>У</w:t>
            </w:r>
            <w:r>
              <w:rPr>
                <w:sz w:val="24"/>
                <w:szCs w:val="24"/>
              </w:rPr>
              <w:t>, РП</w:t>
            </w:r>
          </w:p>
        </w:tc>
      </w:tr>
      <w:tr>
        <w:trPr/>
        <w:tc>
          <w:tcPr>
            <w:tcW w:w="851"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pPr>
            <w:r>
              <w:rPr>
                <w:sz w:val="24"/>
                <w:szCs w:val="24"/>
                <w:lang w:val="en-US"/>
              </w:rPr>
              <w:t>3</w:t>
            </w:r>
            <w:r>
              <w:rPr>
                <w:sz w:val="24"/>
                <w:szCs w:val="24"/>
              </w:rPr>
              <w:t>.</w:t>
            </w:r>
          </w:p>
        </w:tc>
        <w:tc>
          <w:tcPr>
            <w:tcW w:w="381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both"/>
              <w:rPr>
                <w:sz w:val="24"/>
                <w:szCs w:val="24"/>
              </w:rPr>
            </w:pPr>
            <w:r>
              <w:rPr>
                <w:sz w:val="24"/>
                <w:szCs w:val="24"/>
              </w:rPr>
              <w:t>Периодичност на прилагане на процедурата</w:t>
            </w:r>
          </w:p>
        </w:tc>
        <w:tc>
          <w:tcPr>
            <w:tcW w:w="1290"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У</w:t>
            </w:r>
          </w:p>
        </w:tc>
        <w:tc>
          <w:tcPr>
            <w:tcW w:w="1262"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rPr>
            </w:pPr>
            <w:r>
              <w:rPr>
                <w:sz w:val="24"/>
                <w:szCs w:val="24"/>
              </w:rPr>
              <w:t>ПДГ</w:t>
            </w:r>
            <w:r>
              <w:rPr>
                <w:sz w:val="24"/>
                <w:szCs w:val="24"/>
                <w:lang w:val="bg-BG"/>
              </w:rPr>
              <w:t>ИСУ</w:t>
            </w:r>
          </w:p>
        </w:tc>
        <w:tc>
          <w:tcPr>
            <w:tcW w:w="1417"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rPr>
            </w:pPr>
            <w:r>
              <w:rPr>
                <w:sz w:val="24"/>
                <w:szCs w:val="24"/>
                <w:lang w:val="bg-BG"/>
              </w:rPr>
              <w:t>ПИСУ</w:t>
            </w:r>
          </w:p>
        </w:tc>
        <w:tc>
          <w:tcPr>
            <w:tcW w:w="137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pPr>
            <w:r>
              <w:rPr>
                <w:sz w:val="24"/>
                <w:szCs w:val="24"/>
                <w:lang w:val="bg-BG"/>
              </w:rPr>
              <w:t>У</w:t>
            </w:r>
            <w:r>
              <w:rPr>
                <w:sz w:val="24"/>
                <w:szCs w:val="24"/>
              </w:rPr>
              <w:t>, РП</w:t>
            </w:r>
          </w:p>
        </w:tc>
      </w:tr>
      <w:tr>
        <w:trPr/>
        <w:tc>
          <w:tcPr>
            <w:tcW w:w="851"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pPr>
            <w:r>
              <w:rPr>
                <w:sz w:val="24"/>
                <w:szCs w:val="24"/>
                <w:lang w:val="bg-BG"/>
              </w:rPr>
              <w:t>4</w:t>
            </w:r>
            <w:r>
              <w:rPr>
                <w:sz w:val="24"/>
                <w:szCs w:val="24"/>
                <w:lang w:val="en-US"/>
              </w:rPr>
              <w:t>.</w:t>
            </w:r>
          </w:p>
        </w:tc>
        <w:tc>
          <w:tcPr>
            <w:tcW w:w="381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both"/>
              <w:rPr>
                <w:sz w:val="24"/>
                <w:szCs w:val="24"/>
              </w:rPr>
            </w:pPr>
            <w:r>
              <w:rPr>
                <w:sz w:val="24"/>
                <w:szCs w:val="24"/>
              </w:rPr>
              <w:t>Оценяване на съответствието спрямо определените аспекти</w:t>
            </w:r>
          </w:p>
        </w:tc>
        <w:tc>
          <w:tcPr>
            <w:tcW w:w="1290"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ПДГИСУ</w:t>
            </w:r>
          </w:p>
        </w:tc>
        <w:tc>
          <w:tcPr>
            <w:tcW w:w="1262"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ДКО</w:t>
            </w:r>
          </w:p>
        </w:tc>
        <w:tc>
          <w:tcPr>
            <w:tcW w:w="1417"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РП</w:t>
            </w:r>
          </w:p>
        </w:tc>
        <w:tc>
          <w:tcPr>
            <w:tcW w:w="137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ПР</w:t>
            </w:r>
          </w:p>
        </w:tc>
      </w:tr>
      <w:tr>
        <w:trPr/>
        <w:tc>
          <w:tcPr>
            <w:tcW w:w="851"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pPr>
            <w:r>
              <w:rPr>
                <w:sz w:val="24"/>
                <w:szCs w:val="24"/>
                <w:lang w:val="bg-BG"/>
              </w:rPr>
              <w:t>5</w:t>
            </w:r>
            <w:r>
              <w:rPr>
                <w:sz w:val="24"/>
                <w:szCs w:val="24"/>
                <w:lang w:val="en-US"/>
              </w:rPr>
              <w:t>.</w:t>
            </w:r>
          </w:p>
        </w:tc>
        <w:tc>
          <w:tcPr>
            <w:tcW w:w="381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both"/>
              <w:rPr>
                <w:sz w:val="24"/>
                <w:szCs w:val="24"/>
              </w:rPr>
            </w:pPr>
            <w:r>
              <w:rPr>
                <w:sz w:val="24"/>
                <w:szCs w:val="24"/>
              </w:rPr>
              <w:t>Оценяване на съответствието спрямо външните нормативни документи</w:t>
            </w:r>
          </w:p>
        </w:tc>
        <w:tc>
          <w:tcPr>
            <w:tcW w:w="1290"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У</w:t>
            </w:r>
          </w:p>
        </w:tc>
        <w:tc>
          <w:tcPr>
            <w:tcW w:w="1262"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ДКО</w:t>
            </w:r>
          </w:p>
        </w:tc>
        <w:tc>
          <w:tcPr>
            <w:tcW w:w="1417"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РП</w:t>
            </w:r>
          </w:p>
        </w:tc>
        <w:tc>
          <w:tcPr>
            <w:tcW w:w="1373" w:type="dxa"/>
            <w:tcBorders>
              <w:top w:val="double" w:sz="6" w:space="0" w:color="000000"/>
              <w:start w:val="single" w:sz="6" w:space="0" w:color="000000"/>
              <w:bottom w:val="double" w:sz="6" w:space="0" w:color="000000"/>
              <w:end w:val="single" w:sz="6" w:space="0" w:color="000000"/>
            </w:tcBorders>
            <w:tcMar>
              <w:start w:w="113" w:type="dxa"/>
              <w:end w:w="113" w:type="dxa"/>
            </w:tcMar>
            <w:vAlign w:val="center"/>
          </w:tcPr>
          <w:p>
            <w:pPr>
              <w:pStyle w:val="Normal"/>
              <w:jc w:val="center"/>
              <w:rPr>
                <w:sz w:val="24"/>
                <w:szCs w:val="24"/>
                <w:lang w:val="bg-BG"/>
              </w:rPr>
            </w:pPr>
            <w:r>
              <w:rPr>
                <w:sz w:val="24"/>
                <w:szCs w:val="24"/>
                <w:lang w:val="bg-BG"/>
              </w:rPr>
              <w:t>У, ПДГИСУ</w:t>
            </w:r>
          </w:p>
        </w:tc>
      </w:tr>
    </w:tbl>
    <w:p>
      <w:pPr>
        <w:pStyle w:val="Normal"/>
        <w:rPr>
          <w:sz w:val="24"/>
          <w:szCs w:val="24"/>
          <w:lang w:val="bg-BG"/>
        </w:rPr>
      </w:pPr>
      <w:r>
        <w:rPr>
          <w:sz w:val="24"/>
          <w:szCs w:val="24"/>
          <w:lang w:val="bg-BG"/>
        </w:rPr>
      </w:r>
    </w:p>
    <w:p>
      <w:pPr>
        <w:pStyle w:val="Heading4"/>
        <w:ind w:hanging="0" w:start="0"/>
        <w:jc w:val="center"/>
        <w:rPr>
          <w:rFonts w:eastAsia="Arial Unicode MS"/>
          <w:b/>
          <w:bCs/>
          <w:i w:val="false"/>
          <w:sz w:val="24"/>
          <w:szCs w:val="24"/>
        </w:rPr>
      </w:pPr>
      <w:r>
        <w:rPr>
          <w:b/>
          <w:bCs/>
          <w:i w:val="false"/>
          <w:sz w:val="24"/>
          <w:szCs w:val="24"/>
        </w:rPr>
        <w:t>ЛЕГЕНДА</w:t>
      </w:r>
    </w:p>
    <w:p>
      <w:pPr>
        <w:pStyle w:val="Style12"/>
        <w:widowControl w:val="false"/>
        <w:numPr>
          <w:ilvl w:val="0"/>
          <w:numId w:val="0"/>
        </w:numPr>
        <w:ind w:hanging="0" w:start="0"/>
        <w:rPr>
          <w:rFonts w:eastAsia="Arial Unicode MS"/>
          <w:b/>
          <w:bCs/>
          <w:i/>
          <w:sz w:val="24"/>
          <w:szCs w:val="24"/>
        </w:rPr>
      </w:pPr>
      <w:r>
        <w:rPr>
          <w:rFonts w:eastAsia="Arial Unicode MS"/>
          <w:b/>
          <w:bCs/>
          <w:i/>
          <w:sz w:val="24"/>
          <w:szCs w:val="24"/>
        </w:rPr>
      </w:r>
    </w:p>
    <w:tbl>
      <w:tblPr>
        <w:tblW w:w="9446" w:type="dxa"/>
        <w:jc w:val="start"/>
        <w:tblInd w:w="397" w:type="dxa"/>
        <w:tblLayout w:type="fixed"/>
        <w:tblCellMar>
          <w:top w:w="0" w:type="dxa"/>
          <w:start w:w="113" w:type="dxa"/>
          <w:bottom w:w="0" w:type="dxa"/>
          <w:end w:w="113" w:type="dxa"/>
        </w:tblCellMar>
      </w:tblPr>
      <w:tblGrid>
        <w:gridCol w:w="3067"/>
        <w:gridCol w:w="6379"/>
      </w:tblGrid>
      <w:tr>
        <w:trPr>
          <w:cantSplit/>
        </w:trPr>
        <w:tc>
          <w:tcPr>
            <w:tcW w:w="3067" w:type="dxa"/>
            <w:tcBorders>
              <w:top w:val="single" w:sz="2" w:space="0" w:color="000000"/>
              <w:start w:val="single" w:sz="2" w:space="0" w:color="000000"/>
              <w:bottom w:val="single" w:sz="2" w:space="0" w:color="000000"/>
              <w:end w:val="single" w:sz="2" w:space="0" w:color="000000"/>
            </w:tcBorders>
          </w:tcPr>
          <w:p>
            <w:pPr>
              <w:pStyle w:val="Normal"/>
              <w:rPr>
                <w:b/>
                <w:sz w:val="24"/>
                <w:szCs w:val="24"/>
              </w:rPr>
            </w:pPr>
            <w:r>
              <w:rPr>
                <w:b/>
                <w:sz w:val="24"/>
                <w:szCs w:val="24"/>
              </w:rPr>
              <w:t>Р (РЕШЕНИЕ)</w:t>
            </w:r>
          </w:p>
        </w:tc>
        <w:tc>
          <w:tcPr>
            <w:tcW w:w="6379" w:type="dxa"/>
            <w:tcBorders>
              <w:top w:val="single" w:sz="2" w:space="0" w:color="000000"/>
              <w:start w:val="single" w:sz="2" w:space="0" w:color="000000"/>
              <w:bottom w:val="single" w:sz="2" w:space="0" w:color="000000"/>
              <w:end w:val="single" w:sz="2" w:space="0" w:color="000000"/>
            </w:tcBorders>
          </w:tcPr>
          <w:p>
            <w:pPr>
              <w:pStyle w:val="Normal"/>
              <w:jc w:val="both"/>
              <w:rPr/>
            </w:pPr>
            <w:r>
              <w:rPr>
                <w:b/>
                <w:sz w:val="24"/>
                <w:szCs w:val="24"/>
              </w:rPr>
              <w:t>Р</w:t>
            </w:r>
            <w:r>
              <w:rPr>
                <w:sz w:val="24"/>
                <w:szCs w:val="24"/>
              </w:rPr>
              <w:t>ъководителят на посоченото звено или длъжностно лице е упълномощен да взема решение по дадената дейност и носи отговорност за същото</w:t>
            </w:r>
          </w:p>
        </w:tc>
      </w:tr>
      <w:tr>
        <w:trPr>
          <w:cantSplit/>
        </w:trPr>
        <w:tc>
          <w:tcPr>
            <w:tcW w:w="3067" w:type="dxa"/>
            <w:tcBorders>
              <w:top w:val="single" w:sz="2" w:space="0" w:color="000000"/>
              <w:start w:val="single" w:sz="6" w:space="0" w:color="000000"/>
              <w:bottom w:val="single" w:sz="2" w:space="0" w:color="000000"/>
              <w:end w:val="single" w:sz="6" w:space="0" w:color="000000"/>
            </w:tcBorders>
          </w:tcPr>
          <w:p>
            <w:pPr>
              <w:pStyle w:val="Normal"/>
              <w:rPr>
                <w:b/>
                <w:sz w:val="24"/>
                <w:szCs w:val="24"/>
              </w:rPr>
            </w:pPr>
            <w:r>
              <w:rPr>
                <w:b/>
                <w:sz w:val="24"/>
                <w:szCs w:val="24"/>
              </w:rPr>
              <w:t>О (ОСЪЩЕСТВЯВАНЕ)</w:t>
            </w:r>
          </w:p>
        </w:tc>
        <w:tc>
          <w:tcPr>
            <w:tcW w:w="6379" w:type="dxa"/>
            <w:tcBorders>
              <w:top w:val="single" w:sz="2" w:space="0" w:color="000000"/>
              <w:start w:val="single" w:sz="6" w:space="0" w:color="000000"/>
              <w:bottom w:val="single" w:sz="2" w:space="0" w:color="000000"/>
              <w:end w:val="single" w:sz="6" w:space="0" w:color="000000"/>
            </w:tcBorders>
          </w:tcPr>
          <w:p>
            <w:pPr>
              <w:pStyle w:val="Normal"/>
              <w:jc w:val="both"/>
              <w:rPr/>
            </w:pPr>
            <w:r>
              <w:rPr>
                <w:b/>
                <w:sz w:val="24"/>
                <w:szCs w:val="24"/>
              </w:rPr>
              <w:t>П</w:t>
            </w:r>
            <w:r>
              <w:rPr>
                <w:sz w:val="24"/>
                <w:szCs w:val="24"/>
              </w:rPr>
              <w:t>осоченият ръководител на звено или длъжностно лице е упълномощен и отговорен за осъществяването на дадената дейност</w:t>
            </w:r>
          </w:p>
        </w:tc>
      </w:tr>
      <w:tr>
        <w:trPr>
          <w:cantSplit/>
        </w:trPr>
        <w:tc>
          <w:tcPr>
            <w:tcW w:w="3067" w:type="dxa"/>
            <w:tcBorders>
              <w:top w:val="single" w:sz="2" w:space="0" w:color="000000"/>
              <w:start w:val="single" w:sz="2" w:space="0" w:color="000000"/>
              <w:bottom w:val="single" w:sz="2" w:space="0" w:color="000000"/>
              <w:end w:val="single" w:sz="2" w:space="0" w:color="000000"/>
            </w:tcBorders>
          </w:tcPr>
          <w:p>
            <w:pPr>
              <w:pStyle w:val="Normal"/>
              <w:rPr>
                <w:b/>
                <w:sz w:val="24"/>
                <w:szCs w:val="24"/>
              </w:rPr>
            </w:pPr>
            <w:r>
              <w:rPr>
                <w:b/>
                <w:sz w:val="24"/>
                <w:szCs w:val="24"/>
              </w:rPr>
              <w:t>С (СЪДЕЙСТВИЕ)</w:t>
            </w:r>
          </w:p>
        </w:tc>
        <w:tc>
          <w:tcPr>
            <w:tcW w:w="6379" w:type="dxa"/>
            <w:tcBorders>
              <w:top w:val="single" w:sz="2" w:space="0" w:color="000000"/>
              <w:start w:val="single" w:sz="2" w:space="0" w:color="000000"/>
              <w:bottom w:val="single" w:sz="2" w:space="0" w:color="000000"/>
              <w:end w:val="single" w:sz="2" w:space="0" w:color="000000"/>
            </w:tcBorders>
          </w:tcPr>
          <w:p>
            <w:pPr>
              <w:pStyle w:val="Normal"/>
              <w:jc w:val="both"/>
              <w:rPr/>
            </w:pPr>
            <w:r>
              <w:rPr>
                <w:b/>
                <w:sz w:val="24"/>
                <w:szCs w:val="24"/>
              </w:rPr>
              <w:t>П</w:t>
            </w:r>
            <w:r>
              <w:rPr>
                <w:sz w:val="24"/>
                <w:szCs w:val="24"/>
              </w:rPr>
              <w:t>осоченият ръководител на звено или длъжностно лице сътрудничи, съгласува и подкрепя осъществяването на дадената дейност</w:t>
            </w:r>
          </w:p>
        </w:tc>
      </w:tr>
      <w:tr>
        <w:trPr>
          <w:cantSplit/>
        </w:trPr>
        <w:tc>
          <w:tcPr>
            <w:tcW w:w="3067" w:type="dxa"/>
            <w:tcBorders>
              <w:top w:val="single" w:sz="2" w:space="0" w:color="000000"/>
              <w:start w:val="single" w:sz="6" w:space="0" w:color="000000"/>
              <w:bottom w:val="single" w:sz="6" w:space="0" w:color="000000"/>
              <w:end w:val="single" w:sz="6" w:space="0" w:color="000000"/>
            </w:tcBorders>
          </w:tcPr>
          <w:p>
            <w:pPr>
              <w:pStyle w:val="Normal"/>
              <w:rPr/>
            </w:pPr>
            <w:r>
              <w:rPr>
                <w:b/>
                <w:sz w:val="24"/>
                <w:szCs w:val="24"/>
              </w:rPr>
              <w:t>И (ИНФОРМИРАНЕ</w:t>
            </w:r>
            <w:r>
              <w:rPr>
                <w:sz w:val="24"/>
                <w:szCs w:val="24"/>
              </w:rPr>
              <w:t>)</w:t>
            </w:r>
          </w:p>
        </w:tc>
        <w:tc>
          <w:tcPr>
            <w:tcW w:w="6379" w:type="dxa"/>
            <w:tcBorders>
              <w:top w:val="single" w:sz="2" w:space="0" w:color="000000"/>
              <w:start w:val="single" w:sz="6" w:space="0" w:color="000000"/>
              <w:bottom w:val="single" w:sz="6" w:space="0" w:color="000000"/>
              <w:end w:val="single" w:sz="6" w:space="0" w:color="000000"/>
            </w:tcBorders>
          </w:tcPr>
          <w:p>
            <w:pPr>
              <w:pStyle w:val="Normal"/>
              <w:jc w:val="both"/>
              <w:rPr/>
            </w:pPr>
            <w:r>
              <w:rPr>
                <w:b/>
                <w:sz w:val="24"/>
                <w:szCs w:val="24"/>
              </w:rPr>
              <w:t>П</w:t>
            </w:r>
            <w:r>
              <w:rPr>
                <w:sz w:val="24"/>
                <w:szCs w:val="24"/>
              </w:rPr>
              <w:t>осоченият ръководител на звено или длъжностно лице трябва да бъде информиран от длъжностното лице, осъществило дадената дейност</w:t>
            </w:r>
          </w:p>
        </w:tc>
      </w:tr>
    </w:tbl>
    <w:p>
      <w:pPr>
        <w:pStyle w:val="Normal"/>
        <w:jc w:val="center"/>
        <w:rPr>
          <w:sz w:val="24"/>
          <w:szCs w:val="24"/>
          <w:u w:val="single"/>
          <w:lang w:val="bg-BG"/>
        </w:rPr>
      </w:pPr>
      <w:r>
        <w:rPr>
          <w:sz w:val="24"/>
          <w:szCs w:val="24"/>
          <w:u w:val="single"/>
          <w:lang w:val="bg-BG"/>
        </w:rPr>
      </w:r>
    </w:p>
    <w:p>
      <w:pPr>
        <w:pStyle w:val="Normal"/>
        <w:jc w:val="center"/>
        <w:rPr>
          <w:sz w:val="24"/>
          <w:szCs w:val="24"/>
          <w:u w:val="single"/>
          <w:lang w:val="bg-BG"/>
        </w:rPr>
      </w:pPr>
      <w:r>
        <w:rPr>
          <w:sz w:val="24"/>
          <w:szCs w:val="24"/>
          <w:u w:val="single"/>
          <w:lang w:val="bg-BG"/>
        </w:rPr>
      </w:r>
    </w:p>
    <w:p>
      <w:pPr>
        <w:pStyle w:val="Normal"/>
        <w:jc w:val="center"/>
        <w:rPr>
          <w:sz w:val="24"/>
          <w:szCs w:val="24"/>
          <w:u w:val="single"/>
          <w:lang w:val="bg-BG"/>
        </w:rPr>
      </w:pPr>
      <w:r>
        <w:rPr>
          <w:sz w:val="24"/>
          <w:szCs w:val="24"/>
          <w:u w:val="single"/>
          <w:lang w:val="bg-BG"/>
        </w:rPr>
      </w:r>
    </w:p>
    <w:p>
      <w:pPr>
        <w:pStyle w:val="Normal"/>
        <w:jc w:val="center"/>
        <w:rPr>
          <w:sz w:val="24"/>
          <w:szCs w:val="24"/>
          <w:u w:val="single"/>
          <w:lang w:val="bg-BG"/>
        </w:rPr>
      </w:pPr>
      <w:r>
        <w:rPr>
          <w:sz w:val="24"/>
          <w:szCs w:val="24"/>
          <w:u w:val="single"/>
          <w:lang w:val="bg-BG"/>
        </w:rPr>
      </w:r>
    </w:p>
    <w:tbl>
      <w:tblPr>
        <w:tblW w:w="9714" w:type="dxa"/>
        <w:jc w:val="center"/>
        <w:tblInd w:w="0" w:type="dxa"/>
        <w:tblLayout w:type="fixed"/>
        <w:tblCellMar>
          <w:top w:w="0" w:type="dxa"/>
          <w:start w:w="113" w:type="dxa"/>
          <w:bottom w:w="0" w:type="dxa"/>
          <w:end w:w="113" w:type="dxa"/>
        </w:tblCellMar>
      </w:tblPr>
      <w:tblGrid>
        <w:gridCol w:w="1387"/>
        <w:gridCol w:w="8327"/>
      </w:tblGrid>
      <w:tr>
        <w:trPr/>
        <w:tc>
          <w:tcPr>
            <w:tcW w:w="1387" w:type="dxa"/>
            <w:tcBorders>
              <w:top w:val="single" w:sz="2" w:space="0" w:color="000000"/>
              <w:start w:val="single" w:sz="2" w:space="0" w:color="000000"/>
              <w:bottom w:val="single" w:sz="2" w:space="0" w:color="000000"/>
              <w:end w:val="single" w:sz="2" w:space="0" w:color="000000"/>
            </w:tcBorders>
          </w:tcPr>
          <w:p>
            <w:pPr>
              <w:pStyle w:val="Normal"/>
              <w:spacing w:before="40" w:after="0"/>
              <w:rPr>
                <w:b/>
                <w:sz w:val="24"/>
                <w:szCs w:val="24"/>
                <w:lang w:val="bg-BG"/>
              </w:rPr>
            </w:pPr>
            <w:r>
              <w:rPr>
                <w:b/>
                <w:sz w:val="24"/>
                <w:szCs w:val="24"/>
                <w:lang w:val="bg-BG"/>
              </w:rPr>
              <w:t>У</w:t>
            </w:r>
          </w:p>
        </w:tc>
        <w:tc>
          <w:tcPr>
            <w:tcW w:w="8327" w:type="dxa"/>
            <w:tcBorders>
              <w:top w:val="single" w:sz="2" w:space="0" w:color="000000"/>
              <w:start w:val="single" w:sz="2" w:space="0" w:color="000000"/>
              <w:bottom w:val="single" w:sz="2" w:space="0" w:color="000000"/>
              <w:end w:val="single" w:sz="2" w:space="0" w:color="000000"/>
            </w:tcBorders>
          </w:tcPr>
          <w:p>
            <w:pPr>
              <w:pStyle w:val="Normal"/>
              <w:spacing w:before="40" w:after="0"/>
              <w:rPr>
                <w:sz w:val="24"/>
                <w:szCs w:val="24"/>
              </w:rPr>
            </w:pPr>
            <w:r>
              <w:rPr>
                <w:b/>
                <w:bCs/>
                <w:sz w:val="24"/>
                <w:szCs w:val="24"/>
                <w:lang w:val="bg-BG"/>
              </w:rPr>
              <w:t>У</w:t>
            </w:r>
            <w:r>
              <w:rPr>
                <w:bCs/>
                <w:sz w:val="24"/>
                <w:szCs w:val="24"/>
                <w:lang w:val="bg-BG"/>
              </w:rPr>
              <w:t>правител</w:t>
            </w:r>
            <w:r>
              <w:rPr>
                <w:bCs/>
                <w:sz w:val="24"/>
                <w:szCs w:val="24"/>
              </w:rPr>
              <w:t xml:space="preserve"> </w:t>
            </w:r>
          </w:p>
        </w:tc>
      </w:tr>
      <w:tr>
        <w:trPr/>
        <w:tc>
          <w:tcPr>
            <w:tcW w:w="1387" w:type="dxa"/>
            <w:tcBorders>
              <w:top w:val="single" w:sz="2" w:space="0" w:color="000000"/>
              <w:start w:val="single" w:sz="6" w:space="0" w:color="000000"/>
              <w:bottom w:val="single" w:sz="2" w:space="0" w:color="000000"/>
              <w:end w:val="single" w:sz="6" w:space="0" w:color="000000"/>
            </w:tcBorders>
          </w:tcPr>
          <w:p>
            <w:pPr>
              <w:pStyle w:val="Normal"/>
              <w:spacing w:before="40" w:after="0"/>
              <w:rPr>
                <w:b/>
                <w:sz w:val="24"/>
                <w:szCs w:val="24"/>
                <w:lang w:val="bg-BG"/>
              </w:rPr>
            </w:pPr>
            <w:r>
              <w:rPr>
                <w:b/>
                <w:sz w:val="24"/>
                <w:szCs w:val="24"/>
                <w:lang w:val="bg-BG"/>
              </w:rPr>
              <w:t>ПИСУ</w:t>
            </w:r>
          </w:p>
        </w:tc>
        <w:tc>
          <w:tcPr>
            <w:tcW w:w="8327" w:type="dxa"/>
            <w:tcBorders>
              <w:top w:val="single" w:sz="2" w:space="0" w:color="000000"/>
              <w:start w:val="single" w:sz="6" w:space="0" w:color="000000"/>
              <w:bottom w:val="single" w:sz="2" w:space="0" w:color="000000"/>
              <w:end w:val="single" w:sz="6" w:space="0" w:color="000000"/>
            </w:tcBorders>
          </w:tcPr>
          <w:p>
            <w:pPr>
              <w:pStyle w:val="Normal"/>
              <w:spacing w:before="40" w:after="0"/>
              <w:rPr>
                <w:sz w:val="24"/>
                <w:szCs w:val="24"/>
                <w:lang w:val="bg-BG"/>
              </w:rPr>
            </w:pPr>
            <w:r>
              <w:rPr>
                <w:b/>
                <w:bCs/>
                <w:sz w:val="24"/>
                <w:szCs w:val="24"/>
                <w:lang w:val="bg-BG"/>
              </w:rPr>
              <w:t>П</w:t>
            </w:r>
            <w:r>
              <w:rPr>
                <w:bCs/>
                <w:sz w:val="24"/>
                <w:szCs w:val="24"/>
                <w:lang w:val="bg-BG"/>
              </w:rPr>
              <w:t>ълномощник на ИСУ</w:t>
            </w:r>
          </w:p>
        </w:tc>
      </w:tr>
      <w:tr>
        <w:trPr/>
        <w:tc>
          <w:tcPr>
            <w:tcW w:w="1387" w:type="dxa"/>
            <w:tcBorders>
              <w:top w:val="single" w:sz="2" w:space="0" w:color="000000"/>
              <w:start w:val="single" w:sz="2" w:space="0" w:color="000000"/>
              <w:bottom w:val="single" w:sz="2" w:space="0" w:color="000000"/>
              <w:end w:val="single" w:sz="2" w:space="0" w:color="000000"/>
            </w:tcBorders>
          </w:tcPr>
          <w:p>
            <w:pPr>
              <w:pStyle w:val="Normal"/>
              <w:rPr>
                <w:b/>
                <w:sz w:val="24"/>
                <w:szCs w:val="24"/>
                <w:lang w:val="bg-BG"/>
              </w:rPr>
            </w:pPr>
            <w:r>
              <w:rPr>
                <w:b/>
                <w:sz w:val="24"/>
                <w:szCs w:val="24"/>
              </w:rPr>
              <w:t>ПДГ</w:t>
            </w:r>
            <w:r>
              <w:rPr>
                <w:b/>
                <w:sz w:val="24"/>
                <w:szCs w:val="24"/>
                <w:lang w:val="bg-BG"/>
              </w:rPr>
              <w:t>ИСУ</w:t>
            </w:r>
          </w:p>
        </w:tc>
        <w:tc>
          <w:tcPr>
            <w:tcW w:w="8327" w:type="dxa"/>
            <w:tcBorders>
              <w:top w:val="single" w:sz="2" w:space="0" w:color="000000"/>
              <w:start w:val="single" w:sz="2" w:space="0" w:color="000000"/>
              <w:bottom w:val="single" w:sz="2" w:space="0" w:color="000000"/>
              <w:end w:val="single" w:sz="2" w:space="0" w:color="000000"/>
            </w:tcBorders>
          </w:tcPr>
          <w:p>
            <w:pPr>
              <w:pStyle w:val="Normal"/>
              <w:rPr>
                <w:sz w:val="24"/>
                <w:szCs w:val="24"/>
                <w:lang w:val="bg-BG"/>
              </w:rPr>
            </w:pPr>
            <w:r>
              <w:rPr>
                <w:b/>
                <w:bCs/>
                <w:sz w:val="24"/>
                <w:szCs w:val="24"/>
              </w:rPr>
              <w:t>П</w:t>
            </w:r>
            <w:r>
              <w:rPr>
                <w:sz w:val="24"/>
                <w:szCs w:val="24"/>
              </w:rPr>
              <w:t xml:space="preserve">остоянно действаща група </w:t>
            </w:r>
            <w:r>
              <w:rPr>
                <w:sz w:val="24"/>
                <w:szCs w:val="24"/>
                <w:lang w:val="bg-BG"/>
              </w:rPr>
              <w:t>на ИСУ</w:t>
            </w:r>
          </w:p>
        </w:tc>
      </w:tr>
      <w:tr>
        <w:trPr/>
        <w:tc>
          <w:tcPr>
            <w:tcW w:w="1387" w:type="dxa"/>
            <w:tcBorders>
              <w:top w:val="single" w:sz="2" w:space="0" w:color="000000"/>
              <w:start w:val="single" w:sz="2" w:space="0" w:color="000000"/>
              <w:bottom w:val="single" w:sz="2" w:space="0" w:color="000000"/>
              <w:end w:val="single" w:sz="2" w:space="0" w:color="000000"/>
            </w:tcBorders>
          </w:tcPr>
          <w:p>
            <w:pPr>
              <w:pStyle w:val="Normal"/>
              <w:rPr>
                <w:b/>
                <w:sz w:val="24"/>
                <w:szCs w:val="24"/>
              </w:rPr>
            </w:pPr>
            <w:r>
              <w:rPr>
                <w:b/>
                <w:sz w:val="24"/>
                <w:szCs w:val="24"/>
              </w:rPr>
              <w:t>РП</w:t>
            </w:r>
          </w:p>
        </w:tc>
        <w:tc>
          <w:tcPr>
            <w:tcW w:w="8327" w:type="dxa"/>
            <w:tcBorders>
              <w:top w:val="single" w:sz="2" w:space="0" w:color="000000"/>
              <w:start w:val="single" w:sz="2" w:space="0" w:color="000000"/>
              <w:bottom w:val="single" w:sz="2" w:space="0" w:color="000000"/>
              <w:end w:val="single" w:sz="2" w:space="0" w:color="000000"/>
            </w:tcBorders>
          </w:tcPr>
          <w:p>
            <w:pPr>
              <w:pStyle w:val="Normal"/>
              <w:rPr/>
            </w:pPr>
            <w:r>
              <w:rPr>
                <w:b/>
                <w:bCs/>
                <w:sz w:val="24"/>
                <w:szCs w:val="24"/>
              </w:rPr>
              <w:t>Р</w:t>
            </w:r>
            <w:r>
              <w:rPr>
                <w:sz w:val="24"/>
                <w:szCs w:val="24"/>
              </w:rPr>
              <w:t>ъководен персонал</w:t>
            </w:r>
          </w:p>
        </w:tc>
      </w:tr>
      <w:tr>
        <w:trPr/>
        <w:tc>
          <w:tcPr>
            <w:tcW w:w="1387" w:type="dxa"/>
            <w:tcBorders>
              <w:top w:val="single" w:sz="2" w:space="0" w:color="000000"/>
              <w:start w:val="single" w:sz="2" w:space="0" w:color="000000"/>
              <w:bottom w:val="single" w:sz="2" w:space="0" w:color="000000"/>
              <w:end w:val="single" w:sz="2" w:space="0" w:color="000000"/>
            </w:tcBorders>
          </w:tcPr>
          <w:p>
            <w:pPr>
              <w:pStyle w:val="Normal"/>
              <w:rPr>
                <w:b/>
                <w:sz w:val="24"/>
                <w:szCs w:val="24"/>
                <w:lang w:val="bg-BG"/>
              </w:rPr>
            </w:pPr>
            <w:r>
              <w:rPr>
                <w:b/>
                <w:sz w:val="24"/>
                <w:szCs w:val="24"/>
                <w:lang w:val="bg-BG"/>
              </w:rPr>
              <w:t>ДКО</w:t>
            </w:r>
          </w:p>
        </w:tc>
        <w:tc>
          <w:tcPr>
            <w:tcW w:w="8327" w:type="dxa"/>
            <w:tcBorders>
              <w:top w:val="single" w:sz="2" w:space="0" w:color="000000"/>
              <w:start w:val="single" w:sz="2" w:space="0" w:color="000000"/>
              <w:bottom w:val="single" w:sz="2" w:space="0" w:color="000000"/>
              <w:end w:val="single" w:sz="2" w:space="0" w:color="000000"/>
            </w:tcBorders>
          </w:tcPr>
          <w:p>
            <w:pPr>
              <w:pStyle w:val="Normal"/>
              <w:rPr>
                <w:sz w:val="24"/>
                <w:szCs w:val="24"/>
                <w:lang w:val="bg-BG"/>
              </w:rPr>
            </w:pPr>
            <w:r>
              <w:rPr>
                <w:b/>
                <w:bCs/>
                <w:sz w:val="24"/>
                <w:szCs w:val="24"/>
                <w:lang w:val="bg-BG"/>
              </w:rPr>
              <w:t>Д</w:t>
            </w:r>
            <w:r>
              <w:rPr>
                <w:bCs/>
                <w:sz w:val="24"/>
                <w:szCs w:val="24"/>
                <w:lang w:val="bg-BG"/>
              </w:rPr>
              <w:t>ържавни контролни органи</w:t>
            </w:r>
          </w:p>
        </w:tc>
      </w:tr>
    </w:tbl>
    <w:p>
      <w:pPr>
        <w:pStyle w:val="Normal"/>
        <w:jc w:val="both"/>
        <w:rPr>
          <w:b/>
          <w:sz w:val="24"/>
          <w:szCs w:val="24"/>
        </w:rPr>
      </w:pPr>
      <w:r>
        <w:rPr>
          <w:b/>
          <w:sz w:val="24"/>
          <w:szCs w:val="24"/>
        </w:rPr>
      </w:r>
    </w:p>
    <w:p>
      <w:pPr>
        <w:pStyle w:val="Normal"/>
        <w:jc w:val="both"/>
        <w:rPr>
          <w:b/>
          <w:sz w:val="24"/>
          <w:szCs w:val="24"/>
        </w:rPr>
      </w:pPr>
      <w:r>
        <w:rPr>
          <w:b/>
          <w:sz w:val="24"/>
          <w:szCs w:val="24"/>
        </w:rPr>
        <w:t>6.ПОСЛЕДОВАТЕЛНОСТ ПРИ ПРИЛАГАНЕ НА ПРОЦЕДУРАТА.</w:t>
      </w:r>
    </w:p>
    <w:p>
      <w:pPr>
        <w:pStyle w:val="Style12"/>
        <w:widowControl w:val="false"/>
        <w:numPr>
          <w:ilvl w:val="0"/>
          <w:numId w:val="0"/>
        </w:numPr>
        <w:ind w:firstLine="720" w:start="0" w:end="0"/>
        <w:rPr>
          <w:b/>
          <w:sz w:val="24"/>
          <w:szCs w:val="24"/>
        </w:rPr>
      </w:pPr>
      <w:r>
        <w:rPr>
          <w:b/>
          <w:sz w:val="24"/>
          <w:szCs w:val="24"/>
        </w:rPr>
      </w:r>
    </w:p>
    <w:p>
      <w:pPr>
        <w:pStyle w:val="Normal"/>
        <w:ind w:firstLine="720" w:end="0"/>
        <w:jc w:val="both"/>
        <w:rPr>
          <w:sz w:val="24"/>
          <w:szCs w:val="24"/>
        </w:rPr>
      </w:pPr>
      <w:r>
        <w:rPr>
          <w:sz w:val="24"/>
          <w:szCs w:val="24"/>
        </w:rPr>
        <w:t>6.1.Преглед на технологичния ред на дейностите, продуктите и услугите.</w:t>
      </w:r>
    </w:p>
    <w:p>
      <w:pPr>
        <w:pStyle w:val="Normal"/>
        <w:ind w:firstLine="720" w:end="0"/>
        <w:jc w:val="both"/>
        <w:rPr>
          <w:sz w:val="24"/>
          <w:szCs w:val="24"/>
        </w:rPr>
      </w:pPr>
      <w:r>
        <w:rPr>
          <w:sz w:val="24"/>
          <w:szCs w:val="24"/>
        </w:rPr>
      </w:r>
    </w:p>
    <w:p>
      <w:pPr>
        <w:pStyle w:val="Normal"/>
        <w:ind w:firstLine="720" w:end="0"/>
        <w:jc w:val="both"/>
        <w:rPr/>
      </w:pPr>
      <w:r>
        <w:rPr>
          <w:sz w:val="24"/>
          <w:szCs w:val="24"/>
        </w:rPr>
        <w:t xml:space="preserve">6.1.1.Прегледът се извършва в рамките на съответния отдел на </w:t>
      </w:r>
      <w:r>
        <w:rPr>
          <w:sz w:val="24"/>
          <w:szCs w:val="24"/>
          <w:lang w:val="en-US"/>
        </w:rPr>
        <w:t>„Братя Панчеви“ ООД</w:t>
      </w:r>
      <w:r>
        <w:rPr>
          <w:sz w:val="24"/>
          <w:szCs w:val="24"/>
          <w:lang w:val="bg-BG"/>
        </w:rPr>
        <w:t>.</w:t>
      </w:r>
      <w:r>
        <w:rPr>
          <w:sz w:val="24"/>
          <w:szCs w:val="24"/>
        </w:rPr>
        <w:t xml:space="preserve"> Като помощни материали се ползват процесите, цитирани в т.4.1. или друга документация за дейности на територията на Дружеството.</w:t>
      </w:r>
    </w:p>
    <w:p>
      <w:pPr>
        <w:pStyle w:val="Style12"/>
        <w:widowControl w:val="false"/>
        <w:numPr>
          <w:ilvl w:val="0"/>
          <w:numId w:val="0"/>
        </w:numPr>
        <w:ind w:firstLine="720" w:start="0" w:end="0"/>
        <w:rPr>
          <w:sz w:val="24"/>
          <w:szCs w:val="24"/>
        </w:rPr>
      </w:pPr>
      <w:r>
        <w:rPr>
          <w:sz w:val="24"/>
          <w:szCs w:val="24"/>
        </w:rPr>
      </w:r>
    </w:p>
    <w:p>
      <w:pPr>
        <w:pStyle w:val="Normal"/>
        <w:ind w:firstLine="720" w:end="0"/>
        <w:jc w:val="both"/>
        <w:rPr/>
      </w:pPr>
      <w:r>
        <w:rPr>
          <w:sz w:val="24"/>
          <w:szCs w:val="24"/>
        </w:rPr>
        <w:t xml:space="preserve">6.1.2.Дейността се извършва първоначално по места, където работят участници в постоянно действащата група за Интегрираната система. Обобщени данни по процеси се разглеждат на заседание на групата. </w:t>
      </w:r>
    </w:p>
    <w:p>
      <w:pPr>
        <w:pStyle w:val="Style12"/>
        <w:widowControl w:val="false"/>
        <w:numPr>
          <w:ilvl w:val="0"/>
          <w:numId w:val="0"/>
        </w:numPr>
        <w:ind w:firstLine="720" w:start="0" w:end="0"/>
        <w:rPr>
          <w:sz w:val="24"/>
          <w:szCs w:val="24"/>
          <w:lang w:val="en-US"/>
        </w:rPr>
      </w:pPr>
      <w:r>
        <w:rPr>
          <w:sz w:val="24"/>
          <w:szCs w:val="24"/>
          <w:lang w:val="en-US"/>
        </w:rPr>
      </w:r>
    </w:p>
    <w:p>
      <w:pPr>
        <w:pStyle w:val="Normal"/>
        <w:ind w:firstLine="720" w:end="0"/>
        <w:jc w:val="both"/>
        <w:rPr>
          <w:sz w:val="24"/>
          <w:szCs w:val="24"/>
        </w:rPr>
      </w:pPr>
      <w:r>
        <w:rPr>
          <w:sz w:val="24"/>
          <w:szCs w:val="24"/>
        </w:rPr>
        <w:t>6.2.Идентификация на аспектите на околната среда и оценка за тяхното въздействие.</w:t>
      </w:r>
    </w:p>
    <w:p>
      <w:pPr>
        <w:pStyle w:val="Normal"/>
        <w:ind w:firstLine="720" w:end="0"/>
        <w:jc w:val="both"/>
        <w:rPr>
          <w:sz w:val="24"/>
          <w:szCs w:val="24"/>
        </w:rPr>
      </w:pPr>
      <w:r>
        <w:rPr>
          <w:sz w:val="24"/>
          <w:szCs w:val="24"/>
        </w:rPr>
      </w:r>
    </w:p>
    <w:p>
      <w:pPr>
        <w:pStyle w:val="Normal"/>
        <w:ind w:firstLine="720" w:end="0"/>
        <w:jc w:val="both"/>
        <w:rPr/>
      </w:pPr>
      <w:r>
        <w:rPr>
          <w:sz w:val="24"/>
          <w:szCs w:val="24"/>
        </w:rPr>
        <w:t>6.2.1.Представителя на ръководството организира разширено заседание на ПДГ</w:t>
      </w:r>
      <w:r>
        <w:rPr>
          <w:sz w:val="24"/>
          <w:szCs w:val="24"/>
          <w:lang w:val="bg-BG"/>
        </w:rPr>
        <w:t>ИСУ.</w:t>
      </w:r>
      <w:r>
        <w:rPr>
          <w:sz w:val="24"/>
          <w:szCs w:val="24"/>
        </w:rPr>
        <w:t xml:space="preserve"> На него се оформя обща таблица за дейностите и произтичащите от тях аспекти/въздействия.</w:t>
      </w:r>
    </w:p>
    <w:p>
      <w:pPr>
        <w:pStyle w:val="Normal"/>
        <w:ind w:firstLine="720" w:end="0"/>
        <w:jc w:val="both"/>
        <w:rPr>
          <w:sz w:val="24"/>
          <w:szCs w:val="24"/>
        </w:rPr>
      </w:pPr>
      <w:r>
        <w:rPr>
          <w:sz w:val="24"/>
          <w:szCs w:val="24"/>
        </w:rPr>
        <w:t>6.2.2.При необходимост в работата се привличат и други лица от персонала.</w:t>
      </w:r>
    </w:p>
    <w:p>
      <w:pPr>
        <w:pStyle w:val="Normal"/>
        <w:ind w:firstLine="720" w:end="0"/>
        <w:jc w:val="both"/>
        <w:rPr>
          <w:sz w:val="24"/>
          <w:szCs w:val="24"/>
        </w:rPr>
      </w:pPr>
      <w:r>
        <w:rPr>
          <w:sz w:val="24"/>
          <w:szCs w:val="24"/>
        </w:rPr>
        <w:t>6.2.3.Оценката на отделните въздействия, за всеки аспект, се извършва с помощта на следните коефициенти, които се записват на реда на анализираното въздействие.</w:t>
      </w:r>
    </w:p>
    <w:p>
      <w:pPr>
        <w:pStyle w:val="Normal"/>
        <w:ind w:firstLine="720" w:end="0"/>
        <w:jc w:val="both"/>
        <w:rPr>
          <w:sz w:val="24"/>
          <w:szCs w:val="24"/>
        </w:rPr>
      </w:pPr>
      <w:r>
        <w:rPr>
          <w:sz w:val="24"/>
          <w:szCs w:val="24"/>
        </w:rPr>
      </w:r>
    </w:p>
    <w:p>
      <w:pPr>
        <w:pStyle w:val="Normal"/>
        <w:ind w:firstLine="720" w:end="0"/>
        <w:jc w:val="both"/>
        <w:rPr/>
      </w:pPr>
      <w:r>
        <w:rPr>
          <w:sz w:val="24"/>
          <w:szCs w:val="24"/>
        </w:rPr>
        <w:t>6.</w:t>
      </w:r>
      <w:r>
        <w:rPr>
          <w:sz w:val="24"/>
          <w:szCs w:val="24"/>
          <w:lang w:val="bg-BG"/>
        </w:rPr>
        <w:t>3</w:t>
      </w:r>
      <w:r>
        <w:rPr>
          <w:sz w:val="24"/>
          <w:szCs w:val="24"/>
        </w:rPr>
        <w:t>.Периодичност на прилагане на процедурата.</w:t>
      </w:r>
    </w:p>
    <w:p>
      <w:pPr>
        <w:pStyle w:val="Normal"/>
        <w:ind w:firstLine="720" w:end="0"/>
        <w:jc w:val="both"/>
        <w:rPr>
          <w:sz w:val="24"/>
          <w:szCs w:val="24"/>
        </w:rPr>
      </w:pPr>
      <w:r>
        <w:rPr>
          <w:sz w:val="24"/>
          <w:szCs w:val="24"/>
        </w:rPr>
      </w:r>
    </w:p>
    <w:p>
      <w:pPr>
        <w:pStyle w:val="Normal"/>
        <w:ind w:firstLine="720" w:end="0"/>
        <w:jc w:val="both"/>
        <w:rPr/>
      </w:pPr>
      <w:r>
        <w:rPr>
          <w:sz w:val="24"/>
          <w:szCs w:val="24"/>
        </w:rPr>
        <w:t>6.</w:t>
      </w:r>
      <w:r>
        <w:rPr>
          <w:sz w:val="24"/>
          <w:szCs w:val="24"/>
          <w:lang w:val="bg-BG"/>
        </w:rPr>
        <w:t>3</w:t>
      </w:r>
      <w:r>
        <w:rPr>
          <w:sz w:val="24"/>
          <w:szCs w:val="24"/>
        </w:rPr>
        <w:t>.1.Първоначално процедурата се прилага, за определяне на общите и конкретни цели по околната среда. В тази връзка първоначално се определят всички значими и незначими аспекти от дейности, продукти и услуги.</w:t>
      </w:r>
    </w:p>
    <w:p>
      <w:pPr>
        <w:pStyle w:val="Normal"/>
        <w:ind w:firstLine="720" w:end="0"/>
        <w:jc w:val="both"/>
        <w:rPr/>
      </w:pPr>
      <w:r>
        <w:rPr>
          <w:sz w:val="24"/>
          <w:szCs w:val="24"/>
        </w:rPr>
        <w:t>6.</w:t>
      </w:r>
      <w:r>
        <w:rPr>
          <w:sz w:val="24"/>
          <w:szCs w:val="24"/>
          <w:lang w:val="bg-BG"/>
        </w:rPr>
        <w:t>3</w:t>
      </w:r>
      <w:r>
        <w:rPr>
          <w:sz w:val="24"/>
          <w:szCs w:val="24"/>
        </w:rPr>
        <w:t>.</w:t>
      </w:r>
      <w:r>
        <w:rPr>
          <w:sz w:val="24"/>
          <w:szCs w:val="24"/>
          <w:lang w:val="bg-BG"/>
        </w:rPr>
        <w:t>2</w:t>
      </w:r>
      <w:r>
        <w:rPr>
          <w:sz w:val="24"/>
          <w:szCs w:val="24"/>
        </w:rPr>
        <w:t>.Периодично, в началото на календарната година, се извършва повторно идентифициране и определяне значимостта на аспектите на околната среда. При тази актуализация се ползва нова информация, съобразно точка 4.1 на настоящата процедура. В работата по новата идентификация на аспектите на околната среда се вземат под внимание и конкретни резултати от изпълнението на програмите за управление</w:t>
      </w:r>
      <w:r>
        <w:rPr>
          <w:sz w:val="24"/>
          <w:szCs w:val="24"/>
          <w:lang w:val="bg-BG"/>
        </w:rPr>
        <w:t xml:space="preserve"> по околна среда</w:t>
      </w:r>
      <w:r>
        <w:rPr>
          <w:sz w:val="24"/>
          <w:szCs w:val="24"/>
        </w:rPr>
        <w:t>. Отчитат се наличието на нови дейности, продукти или услуги.</w:t>
      </w:r>
    </w:p>
    <w:p>
      <w:pPr>
        <w:pStyle w:val="Style12"/>
        <w:widowControl w:val="false"/>
        <w:numPr>
          <w:ilvl w:val="0"/>
          <w:numId w:val="0"/>
        </w:numPr>
        <w:ind w:firstLine="720" w:start="0" w:end="0"/>
        <w:rPr/>
      </w:pPr>
      <w:r>
        <w:rPr>
          <w:sz w:val="24"/>
          <w:szCs w:val="24"/>
        </w:rPr>
        <w:t>6.3.3.Извънредно идентифициране и определяне значимостта на аспектите на околната среда се извършва също при внедряване на нови технологии (в т.ч. нови продукти и услуги) и при системно констатиране на несъответствия в работата по околна среда. След приключване на актуализацията на аспектите на околната среда получените резултати се оформят съобразно изискванията на точка 6.3 от настоящата процедура.</w:t>
      </w:r>
    </w:p>
    <w:p>
      <w:pPr>
        <w:pStyle w:val="Style12"/>
        <w:widowControl w:val="false"/>
        <w:numPr>
          <w:ilvl w:val="0"/>
          <w:numId w:val="0"/>
        </w:numPr>
        <w:ind w:firstLine="720" w:start="0" w:end="0"/>
        <w:rPr>
          <w:sz w:val="24"/>
          <w:szCs w:val="24"/>
        </w:rPr>
      </w:pPr>
      <w:r>
        <w:rPr>
          <w:sz w:val="24"/>
          <w:szCs w:val="24"/>
        </w:rPr>
      </w:r>
    </w:p>
    <w:p>
      <w:pPr>
        <w:pStyle w:val="Style11"/>
        <w:ind w:firstLine="720" w:start="0" w:end="0"/>
        <w:rPr/>
      </w:pPr>
      <w:r>
        <w:rPr>
          <w:rFonts w:cs="Times New Roman" w:ascii="Times New Roman" w:hAnsi="Times New Roman"/>
          <w:sz w:val="24"/>
          <w:szCs w:val="24"/>
        </w:rPr>
        <w:t>6.4.Оценяване на съответствието спрямо определените аспекти.</w:t>
      </w:r>
    </w:p>
    <w:p>
      <w:pPr>
        <w:pStyle w:val="Style11"/>
        <w:ind w:firstLine="720" w:start="0" w:end="0"/>
        <w:rPr>
          <w:rFonts w:ascii="Times New Roman" w:hAnsi="Times New Roman" w:cs="Times New Roman"/>
          <w:sz w:val="24"/>
          <w:szCs w:val="24"/>
        </w:rPr>
      </w:pPr>
      <w:r>
        <w:rPr>
          <w:rFonts w:cs="Times New Roman" w:ascii="Times New Roman" w:hAnsi="Times New Roman"/>
          <w:sz w:val="24"/>
          <w:szCs w:val="24"/>
        </w:rPr>
      </w:r>
    </w:p>
    <w:p>
      <w:pPr>
        <w:pStyle w:val="Style11"/>
        <w:ind w:firstLine="720" w:start="0" w:end="0"/>
        <w:rPr/>
      </w:pPr>
      <w:r>
        <w:rPr>
          <w:rFonts w:cs="Times New Roman" w:ascii="Times New Roman" w:hAnsi="Times New Roman"/>
          <w:sz w:val="24"/>
          <w:szCs w:val="24"/>
        </w:rPr>
        <w:t xml:space="preserve">6.4.1.Идентифицирането на аспектите на околната среда е дейност, която периодично се извършва в </w:t>
      </w:r>
      <w:r>
        <w:rPr>
          <w:sz w:val="24"/>
          <w:szCs w:val="24"/>
          <w:lang w:val="sv-SE"/>
        </w:rPr>
        <w:t>„Братя Панчеви“ ООД.</w:t>
      </w:r>
      <w:r>
        <w:rPr>
          <w:rFonts w:cs="Times New Roman" w:ascii="Times New Roman" w:hAnsi="Times New Roman"/>
          <w:sz w:val="24"/>
          <w:szCs w:val="24"/>
        </w:rPr>
        <w:t xml:space="preserve"> За тази цел се прави преглед на дейностите, продуктите или услугите, за установяване на въведени нови или променени съществуващи дейности (технологии), продукти или услуги. </w:t>
      </w:r>
    </w:p>
    <w:p>
      <w:pPr>
        <w:pStyle w:val="Style11"/>
        <w:ind w:firstLine="720" w:start="0" w:end="0"/>
        <w:rPr/>
      </w:pPr>
      <w:r>
        <w:rPr>
          <w:rFonts w:cs="Times New Roman" w:ascii="Times New Roman" w:hAnsi="Times New Roman"/>
          <w:sz w:val="24"/>
          <w:szCs w:val="24"/>
        </w:rPr>
        <w:t>6.4.2.Практическото изпълнение на точка 6.5.1. се базира на оценка на въздействията, които се проявяват в рамките на идентифицираните аспекти на околната среда. Всяко от въздействията е с измерими параметри. Тези параметри са обект на оценка за съответствие с определени изисквания за намаляване на въздействието.</w:t>
      </w:r>
    </w:p>
    <w:p>
      <w:pPr>
        <w:pStyle w:val="Style11"/>
        <w:ind w:firstLine="720" w:start="0" w:end="0"/>
        <w:rPr/>
      </w:pPr>
      <w:r>
        <w:rPr>
          <w:rFonts w:cs="Times New Roman" w:ascii="Times New Roman" w:hAnsi="Times New Roman"/>
          <w:sz w:val="24"/>
          <w:szCs w:val="24"/>
        </w:rPr>
        <w:t>6.4.3.Работата по оценката на съответствието на аспектите, с критериите за тяхното намаляване, ограничаване или премахване, се извършва от същият ръководен персонал по обекти и звена, участващи в първоначалното им определяне. При определянето на нови аспекти, извън първоначалното определените, се вземат мерки и за тяхното оценяване за степента на съответствие/несъответствие с определени външни или вътрешни изисквания.</w:t>
      </w:r>
    </w:p>
    <w:p>
      <w:pPr>
        <w:pStyle w:val="Style11"/>
        <w:ind w:firstLine="720" w:start="0" w:end="0"/>
        <w:rPr>
          <w:rFonts w:ascii="Times New Roman" w:hAnsi="Times New Roman" w:cs="Times New Roman"/>
          <w:sz w:val="24"/>
          <w:szCs w:val="24"/>
        </w:rPr>
      </w:pPr>
      <w:r>
        <w:rPr>
          <w:rFonts w:cs="Times New Roman" w:ascii="Times New Roman" w:hAnsi="Times New Roman"/>
          <w:sz w:val="24"/>
          <w:szCs w:val="24"/>
        </w:rPr>
      </w:r>
    </w:p>
    <w:p>
      <w:pPr>
        <w:pStyle w:val="Style11"/>
        <w:ind w:firstLine="720" w:start="0" w:end="0"/>
        <w:rPr/>
      </w:pPr>
      <w:r>
        <w:rPr>
          <w:rFonts w:cs="Times New Roman" w:ascii="Times New Roman" w:hAnsi="Times New Roman"/>
          <w:sz w:val="24"/>
          <w:szCs w:val="24"/>
        </w:rPr>
        <w:t>6.5.Оценяване на съответствието спрямо външните нормативни документи.</w:t>
      </w:r>
    </w:p>
    <w:p>
      <w:pPr>
        <w:pStyle w:val="Style11"/>
        <w:ind w:firstLine="720" w:start="0" w:end="0"/>
        <w:rPr>
          <w:rFonts w:ascii="Times New Roman" w:hAnsi="Times New Roman" w:cs="Times New Roman"/>
          <w:sz w:val="24"/>
          <w:szCs w:val="24"/>
        </w:rPr>
      </w:pPr>
      <w:r>
        <w:rPr>
          <w:rFonts w:cs="Times New Roman" w:ascii="Times New Roman" w:hAnsi="Times New Roman"/>
          <w:sz w:val="24"/>
          <w:szCs w:val="24"/>
        </w:rPr>
      </w:r>
    </w:p>
    <w:p>
      <w:pPr>
        <w:pStyle w:val="Style11"/>
        <w:ind w:firstLine="720" w:start="0" w:end="0"/>
        <w:rPr/>
      </w:pPr>
      <w:r>
        <w:rPr>
          <w:rFonts w:cs="Times New Roman" w:ascii="Times New Roman" w:hAnsi="Times New Roman"/>
          <w:sz w:val="24"/>
          <w:szCs w:val="24"/>
        </w:rPr>
        <w:t xml:space="preserve">6.5.1.Правните изисквания, касаещи работата по околната среда, се поддържат в списък. Освен това се описват включени всички външни нормативни актове (закони, наредби, стандарти и други нормативни изисквания) свързани с определените аспекти на околната среда, съобразно т. 6.5. </w:t>
      </w:r>
    </w:p>
    <w:p>
      <w:pPr>
        <w:pStyle w:val="Style11"/>
        <w:ind w:firstLine="720" w:start="0" w:end="0"/>
        <w:rPr/>
      </w:pPr>
      <w:r>
        <w:rPr>
          <w:rFonts w:cs="Times New Roman" w:ascii="Times New Roman" w:hAnsi="Times New Roman"/>
          <w:sz w:val="24"/>
          <w:szCs w:val="24"/>
        </w:rPr>
        <w:t>6.5.2.Оценката на съответствието спрямо външните документи се определя в следните направления:</w:t>
      </w:r>
    </w:p>
    <w:p>
      <w:pPr>
        <w:pStyle w:val="Style11"/>
        <w:ind w:firstLine="720" w:start="0" w:end="0"/>
        <w:rPr>
          <w:rFonts w:ascii="Times New Roman" w:hAnsi="Times New Roman" w:cs="Times New Roman"/>
          <w:sz w:val="24"/>
          <w:szCs w:val="24"/>
        </w:rPr>
      </w:pPr>
      <w:r>
        <w:rPr>
          <w:rFonts w:cs="Times New Roman" w:ascii="Times New Roman" w:hAnsi="Times New Roman"/>
          <w:sz w:val="24"/>
          <w:szCs w:val="24"/>
        </w:rPr>
      </w:r>
    </w:p>
    <w:p>
      <w:pPr>
        <w:pStyle w:val="Style11"/>
        <w:numPr>
          <w:ilvl w:val="0"/>
          <w:numId w:val="2"/>
        </w:numPr>
        <w:spacing w:before="60" w:after="0"/>
        <w:ind w:firstLine="1008" w:start="0" w:end="0"/>
        <w:rPr>
          <w:rFonts w:ascii="Times New Roman" w:hAnsi="Times New Roman" w:cs="Times New Roman"/>
          <w:sz w:val="24"/>
          <w:szCs w:val="24"/>
        </w:rPr>
      </w:pPr>
      <w:r>
        <w:rPr>
          <w:rFonts w:cs="Times New Roman" w:ascii="Times New Roman" w:hAnsi="Times New Roman"/>
          <w:sz w:val="24"/>
          <w:szCs w:val="24"/>
        </w:rPr>
        <w:t>До колко всички нормативни актове, имащи отношение към работата на Дружеството, са взети под внимание и е отчетено спазването на изискванията им;</w:t>
      </w:r>
    </w:p>
    <w:p>
      <w:pPr>
        <w:pStyle w:val="Style11"/>
        <w:numPr>
          <w:ilvl w:val="0"/>
          <w:numId w:val="2"/>
        </w:numPr>
        <w:spacing w:before="60" w:after="0"/>
        <w:ind w:firstLine="1008" w:start="0" w:end="0"/>
        <w:rPr>
          <w:rFonts w:ascii="Times New Roman" w:hAnsi="Times New Roman" w:cs="Times New Roman"/>
          <w:sz w:val="24"/>
          <w:szCs w:val="24"/>
        </w:rPr>
      </w:pPr>
      <w:r>
        <w:rPr>
          <w:rFonts w:cs="Times New Roman" w:ascii="Times New Roman" w:hAnsi="Times New Roman"/>
          <w:sz w:val="24"/>
          <w:szCs w:val="24"/>
        </w:rPr>
        <w:t>Доколко персоналът е запознат с външните нормативни документи, в т.ч. и има достъп до тях;</w:t>
      </w:r>
    </w:p>
    <w:p>
      <w:pPr>
        <w:pStyle w:val="Style11"/>
        <w:numPr>
          <w:ilvl w:val="0"/>
          <w:numId w:val="2"/>
        </w:numPr>
        <w:spacing w:before="60" w:after="0"/>
        <w:ind w:firstLine="1008" w:start="0" w:end="0"/>
        <w:rPr>
          <w:rFonts w:ascii="Times New Roman" w:hAnsi="Times New Roman" w:cs="Times New Roman"/>
          <w:sz w:val="24"/>
          <w:szCs w:val="24"/>
        </w:rPr>
      </w:pPr>
      <w:r>
        <w:rPr>
          <w:rFonts w:cs="Times New Roman" w:ascii="Times New Roman" w:hAnsi="Times New Roman"/>
          <w:sz w:val="24"/>
          <w:szCs w:val="24"/>
        </w:rPr>
        <w:t>До колко значимите за Дружеството външни нормативни документи се поддържат в актуално състояние.</w:t>
      </w:r>
    </w:p>
    <w:p>
      <w:pPr>
        <w:pStyle w:val="Style11"/>
        <w:ind w:firstLine="720" w:start="0" w:end="0"/>
        <w:rPr>
          <w:rFonts w:ascii="Times New Roman" w:hAnsi="Times New Roman" w:cs="Times New Roman"/>
          <w:sz w:val="24"/>
          <w:szCs w:val="24"/>
        </w:rPr>
      </w:pPr>
      <w:r>
        <w:rPr>
          <w:rFonts w:cs="Times New Roman" w:ascii="Times New Roman" w:hAnsi="Times New Roman"/>
          <w:sz w:val="24"/>
          <w:szCs w:val="24"/>
        </w:rPr>
      </w:r>
    </w:p>
    <w:p>
      <w:pPr>
        <w:pStyle w:val="Style11"/>
        <w:ind w:firstLine="720" w:start="0" w:end="0"/>
        <w:rPr>
          <w:rFonts w:ascii="Times New Roman" w:hAnsi="Times New Roman" w:cs="Times New Roman"/>
          <w:sz w:val="24"/>
          <w:szCs w:val="24"/>
        </w:rPr>
      </w:pPr>
      <w:r>
        <w:rPr>
          <w:rFonts w:cs="Times New Roman" w:ascii="Times New Roman" w:hAnsi="Times New Roman"/>
          <w:sz w:val="24"/>
          <w:szCs w:val="24"/>
        </w:rPr>
        <w:t xml:space="preserve">6.5.3.Текущото отчитане на правните изисквания по околна среда се извършва от външната наета фирма за юридически услуги пред Управителя на </w:t>
      </w:r>
      <w:r>
        <w:rPr>
          <w:sz w:val="24"/>
          <w:szCs w:val="24"/>
          <w:lang w:val="sv-SE"/>
        </w:rPr>
        <w:t>„Братя Панчеви“ ООД</w:t>
      </w:r>
      <w:r>
        <w:rPr>
          <w:rFonts w:cs="Calibri" w:ascii="Calibri" w:hAnsi="Calibri"/>
          <w:sz w:val="24"/>
          <w:szCs w:val="24"/>
        </w:rPr>
        <w:t xml:space="preserve"> </w:t>
      </w:r>
      <w:r>
        <w:rPr>
          <w:rFonts w:cs="Times New Roman" w:ascii="Times New Roman" w:hAnsi="Times New Roman"/>
          <w:sz w:val="24"/>
          <w:szCs w:val="24"/>
        </w:rPr>
        <w:t>веднъж годишно в писмен вид като входна информация за провежданите прегледи на ВР. Периодично отчитането се извършва пред Постоянно действаща група за Интегрираната система за управление.</w:t>
      </w:r>
    </w:p>
    <w:p>
      <w:pPr>
        <w:pStyle w:val="Style12"/>
        <w:widowControl w:val="false"/>
        <w:numPr>
          <w:ilvl w:val="0"/>
          <w:numId w:val="0"/>
        </w:numPr>
        <w:ind w:hanging="0" w:start="0"/>
        <w:rPr>
          <w:rFonts w:ascii="Times New Roman" w:hAnsi="Times New Roman" w:cs="Times New Roman"/>
          <w:sz w:val="24"/>
          <w:szCs w:val="24"/>
        </w:rPr>
      </w:pPr>
      <w:r>
        <w:rPr>
          <w:rFonts w:cs="Times New Roman"/>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pPr>
      <w:r>
        <w:rPr>
          <w:sz w:val="24"/>
          <w:szCs w:val="24"/>
        </w:rPr>
      </w:r>
    </w:p>
    <w:p>
      <w:pPr>
        <w:pStyle w:val="Style12"/>
        <w:widowControl w:val="false"/>
        <w:numPr>
          <w:ilvl w:val="0"/>
          <w:numId w:val="0"/>
        </w:numPr>
        <w:ind w:hanging="0" w:start="0"/>
        <w:rPr>
          <w:sz w:val="24"/>
          <w:szCs w:val="24"/>
        </w:rPr>
        <w:sectPr>
          <w:headerReference w:type="default" r:id="rId2"/>
          <w:headerReference w:type="first" r:id="rId3"/>
          <w:footerReference w:type="default" r:id="rId4"/>
          <w:footerReference w:type="first" r:id="rId5"/>
          <w:type w:val="nextPage"/>
          <w:pgSz w:w="11906" w:h="16838"/>
          <w:pgMar w:left="1151" w:right="720" w:gutter="0" w:header="561" w:top="1440" w:footer="709" w:bottom="993"/>
          <w:pgNumType w:fmt="decimal"/>
          <w:formProt w:val="false"/>
          <w:titlePg/>
          <w:textDirection w:val="lrTb"/>
          <w:docGrid w:type="default" w:linePitch="360" w:charSpace="0"/>
        </w:sectPr>
      </w:pPr>
      <w:r>
        <w:rPr>
          <w:sz w:val="24"/>
          <w:szCs w:val="24"/>
        </w:rPr>
      </w:r>
    </w:p>
    <w:p>
      <w:pPr>
        <w:pStyle w:val="Style12"/>
        <w:widowControl w:val="false"/>
        <w:numPr>
          <w:ilvl w:val="0"/>
          <w:numId w:val="0"/>
        </w:numPr>
        <w:ind w:hanging="0" w:start="0"/>
        <w:jc w:val="end"/>
        <w:rPr>
          <w:sz w:val="24"/>
          <w:szCs w:val="24"/>
          <w:lang w:val="en-US"/>
        </w:rPr>
      </w:pPr>
      <w:r>
        <w:rPr>
          <w:sz w:val="24"/>
          <w:szCs w:val="24"/>
          <w:lang w:val="en-US"/>
        </w:rPr>
        <w:t>QEMR-Q-F-PR-09-001</w:t>
      </w:r>
    </w:p>
    <w:p>
      <w:pPr>
        <w:pStyle w:val="Normal"/>
        <w:tabs>
          <w:tab w:val="clear" w:pos="720"/>
          <w:tab w:val="left" w:pos="2250" w:leader="none"/>
        </w:tabs>
        <w:jc w:val="center"/>
        <w:rPr>
          <w:lang w:val="bg-BG"/>
        </w:rPr>
      </w:pPr>
      <w:r>
        <w:rPr>
          <w:lang w:val="bg-BG"/>
        </w:rPr>
        <w:t>КОНТРОЛНА КАРТА №</w:t>
        <w:tab/>
        <w:tab/>
        <w:t xml:space="preserve"> /</w:t>
      </w:r>
    </w:p>
    <w:p>
      <w:pPr>
        <w:pStyle w:val="Normal"/>
        <w:tabs>
          <w:tab w:val="clear" w:pos="720"/>
          <w:tab w:val="left" w:pos="2250" w:leader="none"/>
        </w:tabs>
        <w:jc w:val="center"/>
        <w:rPr>
          <w:lang w:val="bg-BG"/>
        </w:rPr>
      </w:pPr>
      <w:r>
        <w:rPr>
          <w:lang w:val="bg-BG"/>
        </w:rPr>
      </w:r>
    </w:p>
    <w:p>
      <w:pPr>
        <w:pStyle w:val="Normal"/>
        <w:tabs>
          <w:tab w:val="clear" w:pos="720"/>
          <w:tab w:val="left" w:pos="2250" w:leader="none"/>
        </w:tabs>
        <w:jc w:val="center"/>
        <w:rPr>
          <w:lang w:val="bg-BG"/>
        </w:rPr>
      </w:pPr>
      <w:r>
        <w:rPr>
          <w:lang w:val="bg-BG"/>
        </w:rPr>
        <w:t>ЗА ИДЕНТИФИКАЦИЯ НА АСПЕКТИ НА ОКОЛНАТА СРЕДА В „Братя Панчеви“ ООД</w:t>
      </w:r>
    </w:p>
    <w:p>
      <w:pPr>
        <w:pStyle w:val="Normal"/>
        <w:rPr>
          <w:lang w:val="bg-BG"/>
        </w:rPr>
      </w:pPr>
      <w:r>
        <w:rPr>
          <w:lang w:val="bg-BG"/>
        </w:rPr>
      </w:r>
    </w:p>
    <w:tbl>
      <w:tblPr>
        <w:tblW w:w="15768" w:type="dxa"/>
        <w:jc w:val="center"/>
        <w:tblInd w:w="0" w:type="dxa"/>
        <w:tblLayout w:type="fixed"/>
        <w:tblCellMar>
          <w:top w:w="0" w:type="dxa"/>
          <w:start w:w="108" w:type="dxa"/>
          <w:bottom w:w="0" w:type="dxa"/>
          <w:end w:w="108" w:type="dxa"/>
        </w:tblCellMar>
      </w:tblPr>
      <w:tblGrid>
        <w:gridCol w:w="2268"/>
        <w:gridCol w:w="2340"/>
        <w:gridCol w:w="2160"/>
        <w:gridCol w:w="1440"/>
        <w:gridCol w:w="1440"/>
        <w:gridCol w:w="2457"/>
        <w:gridCol w:w="3663"/>
      </w:tblGrid>
      <w:tr>
        <w:trPr>
          <w:cantSplit/>
        </w:trPr>
        <w:tc>
          <w:tcPr>
            <w:tcW w:w="15768"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b/>
                <w:lang w:val="bg-BG"/>
              </w:rPr>
            </w:pPr>
            <w:r>
              <w:rPr>
                <w:lang w:val="bg-BG"/>
              </w:rPr>
              <w:t xml:space="preserve">Наименование на основния процес – </w:t>
            </w:r>
          </w:p>
        </w:tc>
      </w:tr>
      <w:tr>
        <w:trPr>
          <w:cantSplit/>
        </w:trPr>
        <w:tc>
          <w:tcPr>
            <w:tcW w:w="15768"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b/>
                <w:lang w:val="bg-BG"/>
              </w:rPr>
            </w:pPr>
            <w:r>
              <w:rPr>
                <w:lang w:val="bg-BG"/>
              </w:rPr>
              <w:t xml:space="preserve">Аспект / част от процес, който взаимодейства с околната среда/ - </w:t>
            </w:r>
          </w:p>
        </w:tc>
      </w:tr>
      <w:tr>
        <w:trPr>
          <w:cantSplit/>
        </w:trPr>
        <w:tc>
          <w:tcPr>
            <w:tcW w:w="22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Въздействие върху</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keepNext w:val="true"/>
              <w:numPr>
                <w:ilvl w:val="0"/>
                <w:numId w:val="0"/>
              </w:numPr>
              <w:jc w:val="center"/>
              <w:outlineLvl w:val="0"/>
              <w:rPr>
                <w:kern w:val="2"/>
                <w:lang w:val="bg-BG"/>
              </w:rPr>
            </w:pPr>
            <w:r>
              <w:rPr>
                <w:kern w:val="2"/>
                <w:lang w:val="bg-BG"/>
              </w:rPr>
              <w:t>Въздух</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Земя</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Вода</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Човек</w:t>
            </w:r>
          </w:p>
        </w:tc>
        <w:tc>
          <w:tcPr>
            <w:tcW w:w="245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Флора, фауна</w:t>
            </w:r>
          </w:p>
        </w:tc>
        <w:tc>
          <w:tcPr>
            <w:tcW w:w="366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Природни ресурси</w:t>
            </w:r>
          </w:p>
        </w:tc>
      </w:tr>
      <w:tr>
        <w:trPr>
          <w:cantSplit/>
        </w:trPr>
        <w:tc>
          <w:tcPr>
            <w:tcW w:w="22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c>
          <w:tcPr>
            <w:tcW w:w="2340" w:type="dxa"/>
            <w:tcBorders>
              <w:top w:val="single" w:sz="4" w:space="0" w:color="000000"/>
              <w:start w:val="single" w:sz="4" w:space="0" w:color="000000"/>
              <w:bottom w:val="double" w:sz="4" w:space="0" w:color="000000"/>
              <w:end w:val="single" w:sz="4" w:space="0" w:color="000000"/>
            </w:tcBorders>
            <w:vAlign w:val="center"/>
          </w:tcPr>
          <w:p>
            <w:pPr>
              <w:pStyle w:val="Normal"/>
              <w:numPr>
                <w:ilvl w:val="0"/>
                <w:numId w:val="0"/>
              </w:numPr>
              <w:tabs>
                <w:tab w:val="clear" w:pos="720"/>
                <w:tab w:val="left" w:pos="851" w:leader="none"/>
              </w:tabs>
              <w:jc w:val="center"/>
              <w:outlineLvl w:val="2"/>
              <w:rPr>
                <w:lang w:val="bg-BG"/>
              </w:rPr>
            </w:pPr>
            <w:r>
              <w:fldChar w:fldCharType="begin">
                <w:ffData>
                  <w:name w:val="Unnamed"/>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0" w:name="Unnamed"/>
            <w:bookmarkStart w:id="1" w:name="Unnamed"/>
            <w:bookmarkEnd w:id="1"/>
            <w:r/>
            <w:r>
              <w:rPr>
                <w:effect w:val="blinkBackground"/>
                <w:lang w:val="bg-BG"/>
              </w:rPr>
              <w:fldChar w:fldCharType="end"/>
            </w:r>
            <w:r>
              <w:rPr>
                <w:effect w:val="blinkBackground"/>
                <w:lang w:val="bg-BG"/>
              </w:rPr>
            </w:r>
          </w:p>
        </w:tc>
        <w:tc>
          <w:tcPr>
            <w:tcW w:w="216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1"/>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2" w:name="Unnamed_копие_1"/>
            <w:bookmarkStart w:id="3" w:name="Unnamed_копие_1"/>
            <w:bookmarkEnd w:id="3"/>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2"/>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4" w:name="Unnamed_копие_2"/>
            <w:bookmarkStart w:id="5" w:name="Unnamed_копие_2"/>
            <w:bookmarkEnd w:id="5"/>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3"/>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6" w:name="Unnamed_копие_3"/>
            <w:bookmarkStart w:id="7" w:name="Unnamed_копие_3"/>
            <w:bookmarkEnd w:id="7"/>
            <w:r/>
            <w:r>
              <w:rPr>
                <w:effect w:val="blinkBackground"/>
                <w:lang w:val="bg-BG"/>
              </w:rPr>
              <w:fldChar w:fldCharType="end"/>
            </w:r>
            <w:r>
              <w:rPr>
                <w:effect w:val="blinkBackground"/>
                <w:lang w:val="bg-BG"/>
              </w:rPr>
            </w:r>
          </w:p>
        </w:tc>
        <w:tc>
          <w:tcPr>
            <w:tcW w:w="2457"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4"/>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8" w:name="Unnamed_копие_4"/>
            <w:bookmarkStart w:id="9" w:name="Unnamed_копие_4"/>
            <w:bookmarkEnd w:id="9"/>
            <w:r/>
            <w:r>
              <w:rPr>
                <w:effect w:val="blinkBackground"/>
                <w:lang w:val="bg-BG"/>
              </w:rPr>
              <w:fldChar w:fldCharType="end"/>
            </w:r>
            <w:r>
              <w:rPr>
                <w:effect w:val="blinkBackground"/>
                <w:lang w:val="bg-BG"/>
              </w:rPr>
            </w:r>
          </w:p>
        </w:tc>
        <w:tc>
          <w:tcPr>
            <w:tcW w:w="3663"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5"/>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10" w:name="Unnamed_копие_5"/>
            <w:bookmarkStart w:id="11" w:name="Unnamed_копие_5"/>
            <w:bookmarkEnd w:id="11"/>
            <w:r/>
            <w:r>
              <w:rPr>
                <w:effect w:val="blinkBackground"/>
                <w:lang w:val="bg-BG"/>
              </w:rPr>
              <w:fldChar w:fldCharType="end"/>
            </w:r>
            <w:r>
              <w:rPr>
                <w:effect w:val="blinkBackground"/>
                <w:lang w:val="bg-BG"/>
              </w:rPr>
            </w:r>
          </w:p>
        </w:tc>
      </w:tr>
      <w:tr>
        <w:trPr>
          <w:cantSplit/>
        </w:trPr>
        <w:tc>
          <w:tcPr>
            <w:tcW w:w="22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20" w:after="20"/>
              <w:jc w:val="center"/>
              <w:rPr>
                <w:lang w:val="bg-BG"/>
              </w:rPr>
            </w:pPr>
            <w:r>
              <w:rPr>
                <w:lang w:val="bg-BG"/>
              </w:rPr>
              <w:t>Ситуация</w:t>
            </w:r>
          </w:p>
        </w:tc>
        <w:tc>
          <w:tcPr>
            <w:tcW w:w="2340" w:type="dxa"/>
            <w:tcBorders>
              <w:top w:val="double" w:sz="4" w:space="0" w:color="000000"/>
              <w:start w:val="single" w:sz="4" w:space="0" w:color="000000"/>
              <w:bottom w:val="single" w:sz="4" w:space="0" w:color="000000"/>
              <w:end w:val="single" w:sz="4" w:space="0" w:color="000000"/>
            </w:tcBorders>
            <w:vAlign w:val="center"/>
          </w:tcPr>
          <w:p>
            <w:pPr>
              <w:pStyle w:val="Normal"/>
              <w:numPr>
                <w:ilvl w:val="0"/>
                <w:numId w:val="0"/>
              </w:numPr>
              <w:tabs>
                <w:tab w:val="clear" w:pos="720"/>
                <w:tab w:val="left" w:pos="851" w:leader="none"/>
              </w:tabs>
              <w:spacing w:before="20" w:after="20"/>
              <w:jc w:val="center"/>
              <w:outlineLvl w:val="2"/>
              <w:rPr>
                <w:lang w:val="bg-BG"/>
              </w:rPr>
            </w:pPr>
            <w:r>
              <w:rPr>
                <w:lang w:val="bg-BG"/>
              </w:rPr>
              <w:t>Нормална</w:t>
            </w:r>
          </w:p>
        </w:tc>
        <w:tc>
          <w:tcPr>
            <w:tcW w:w="216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pacing w:before="20" w:after="20"/>
              <w:jc w:val="center"/>
              <w:rPr>
                <w:lang w:val="bg-BG"/>
              </w:rPr>
            </w:pPr>
            <w:r>
              <w:rPr>
                <w:lang w:val="bg-BG"/>
              </w:rPr>
              <w:t>Извънредна</w:t>
            </w:r>
          </w:p>
        </w:tc>
        <w:tc>
          <w:tcPr>
            <w:tcW w:w="2880" w:type="dxa"/>
            <w:gridSpan w:val="2"/>
            <w:tcBorders>
              <w:top w:val="double" w:sz="4" w:space="0" w:color="000000"/>
              <w:start w:val="single" w:sz="4" w:space="0" w:color="000000"/>
              <w:bottom w:val="single" w:sz="4" w:space="0" w:color="000000"/>
              <w:end w:val="single" w:sz="4" w:space="0" w:color="000000"/>
            </w:tcBorders>
            <w:vAlign w:val="center"/>
          </w:tcPr>
          <w:p>
            <w:pPr>
              <w:pStyle w:val="Normal"/>
              <w:widowControl w:val="false"/>
              <w:spacing w:before="20" w:after="20"/>
              <w:jc w:val="center"/>
              <w:rPr>
                <w:lang w:val="bg-BG"/>
              </w:rPr>
            </w:pPr>
            <w:r>
              <w:rPr>
                <w:lang w:val="bg-BG"/>
              </w:rPr>
              <w:t>Авария</w:t>
            </w:r>
          </w:p>
        </w:tc>
        <w:tc>
          <w:tcPr>
            <w:tcW w:w="6120"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20" w:after="20"/>
              <w:jc w:val="center"/>
              <w:rPr>
                <w:sz w:val="22"/>
                <w:szCs w:val="22"/>
                <w:lang w:val="bg-BG"/>
              </w:rPr>
            </w:pPr>
            <w:r>
              <w:rPr>
                <w:sz w:val="22"/>
                <w:szCs w:val="22"/>
                <w:lang w:val="bg-BG"/>
              </w:rPr>
            </w:r>
          </w:p>
        </w:tc>
      </w:tr>
      <w:tr>
        <w:trPr>
          <w:cantSplit/>
        </w:trPr>
        <w:tc>
          <w:tcPr>
            <w:tcW w:w="22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20" w:after="20"/>
              <w:jc w:val="center"/>
              <w:rPr>
                <w:sz w:val="22"/>
                <w:szCs w:val="22"/>
                <w:lang w:val="bg-BG"/>
              </w:rPr>
            </w:pPr>
            <w:r>
              <w:rPr>
                <w:sz w:val="22"/>
                <w:szCs w:val="22"/>
                <w:lang w:val="bg-BG"/>
              </w:rPr>
            </w:r>
          </w:p>
        </w:tc>
        <w:tc>
          <w:tcPr>
            <w:tcW w:w="2340" w:type="dxa"/>
            <w:tcBorders>
              <w:top w:val="single" w:sz="4" w:space="0" w:color="000000"/>
              <w:start w:val="single" w:sz="4" w:space="0" w:color="000000"/>
              <w:bottom w:val="double" w:sz="4" w:space="0" w:color="000000"/>
              <w:end w:val="single" w:sz="4" w:space="0" w:color="000000"/>
            </w:tcBorders>
            <w:vAlign w:val="center"/>
          </w:tcPr>
          <w:p>
            <w:pPr>
              <w:pStyle w:val="Normal"/>
              <w:numPr>
                <w:ilvl w:val="0"/>
                <w:numId w:val="0"/>
              </w:numPr>
              <w:tabs>
                <w:tab w:val="clear" w:pos="720"/>
                <w:tab w:val="left" w:pos="851" w:leader="none"/>
              </w:tabs>
              <w:jc w:val="center"/>
              <w:outlineLvl w:val="2"/>
              <w:rPr>
                <w:lang w:val="bg-BG"/>
              </w:rPr>
            </w:pPr>
            <w:r>
              <w:fldChar w:fldCharType="begin">
                <w:ffData>
                  <w:name w:val="Unnamed копие 6"/>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12" w:name="Unnamed_копие_6"/>
            <w:bookmarkStart w:id="13" w:name="Unnamed_копие_6"/>
            <w:bookmarkEnd w:id="13"/>
            <w:r/>
            <w:r>
              <w:rPr>
                <w:effect w:val="blinkBackground"/>
                <w:lang w:val="bg-BG"/>
              </w:rPr>
              <w:fldChar w:fldCharType="end"/>
            </w:r>
            <w:r>
              <w:rPr>
                <w:effect w:val="blinkBackground"/>
                <w:lang w:val="bg-BG"/>
              </w:rPr>
            </w:r>
          </w:p>
        </w:tc>
        <w:tc>
          <w:tcPr>
            <w:tcW w:w="216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7"/>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14" w:name="Unnamed_копие_7"/>
            <w:bookmarkStart w:id="15" w:name="Unnamed_копие_7"/>
            <w:bookmarkEnd w:id="15"/>
            <w:r/>
            <w:r>
              <w:rPr>
                <w:effect w:val="blinkBackground"/>
                <w:lang w:val="bg-BG"/>
              </w:rPr>
              <w:fldChar w:fldCharType="end"/>
            </w:r>
            <w:r>
              <w:rPr>
                <w:effect w:val="blinkBackground"/>
                <w:lang w:val="bg-BG"/>
              </w:rPr>
            </w:r>
          </w:p>
        </w:tc>
        <w:tc>
          <w:tcPr>
            <w:tcW w:w="2880" w:type="dxa"/>
            <w:gridSpan w:val="2"/>
            <w:tcBorders>
              <w:top w:val="single" w:sz="4" w:space="0" w:color="000000"/>
              <w:start w:val="single" w:sz="4" w:space="0" w:color="000000"/>
              <w:bottom w:val="double" w:sz="4" w:space="0" w:color="000000"/>
              <w:end w:val="single" w:sz="4" w:space="0" w:color="000000"/>
            </w:tcBorders>
            <w:vAlign w:val="center"/>
          </w:tcPr>
          <w:p>
            <w:pPr>
              <w:pStyle w:val="Normal"/>
              <w:widowControl w:val="false"/>
              <w:jc w:val="center"/>
              <w:rPr>
                <w:lang w:val="bg-BG"/>
              </w:rPr>
            </w:pPr>
            <w:r>
              <w:fldChar w:fldCharType="begin">
                <w:ffData>
                  <w:name w:val="Unnamed копие 8"/>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16" w:name="Unnamed_копие_8"/>
            <w:bookmarkStart w:id="17" w:name="Unnamed_копие_8"/>
            <w:bookmarkEnd w:id="17"/>
            <w:r/>
            <w:r>
              <w:rPr>
                <w:effect w:val="blinkBackground"/>
                <w:lang w:val="bg-BG"/>
              </w:rPr>
              <w:fldChar w:fldCharType="end"/>
            </w:r>
            <w:r>
              <w:rPr>
                <w:effect w:val="blinkBackground"/>
                <w:lang w:val="bg-BG"/>
              </w:rPr>
            </w:r>
          </w:p>
        </w:tc>
        <w:tc>
          <w:tcPr>
            <w:tcW w:w="612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20" w:after="20"/>
              <w:jc w:val="center"/>
              <w:rPr>
                <w:sz w:val="22"/>
                <w:szCs w:val="22"/>
                <w:lang w:val="bg-BG"/>
              </w:rPr>
            </w:pPr>
            <w:r>
              <w:rPr>
                <w:sz w:val="22"/>
                <w:szCs w:val="22"/>
                <w:lang w:val="bg-BG"/>
              </w:rPr>
            </w:r>
          </w:p>
        </w:tc>
      </w:tr>
      <w:tr>
        <w:trPr>
          <w:cantSplit/>
        </w:trPr>
        <w:tc>
          <w:tcPr>
            <w:tcW w:w="6768" w:type="dxa"/>
            <w:gridSpan w:val="3"/>
            <w:tcBorders>
              <w:top w:val="doub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Въпроси</w:t>
            </w:r>
          </w:p>
        </w:tc>
        <w:tc>
          <w:tcPr>
            <w:tcW w:w="144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да</w:t>
            </w:r>
          </w:p>
        </w:tc>
        <w:tc>
          <w:tcPr>
            <w:tcW w:w="144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не</w:t>
            </w:r>
          </w:p>
        </w:tc>
        <w:tc>
          <w:tcPr>
            <w:tcW w:w="6120" w:type="dxa"/>
            <w:gridSpan w:val="2"/>
            <w:tcBorders>
              <w:top w:val="double" w:sz="4" w:space="0" w:color="000000"/>
              <w:start w:val="single" w:sz="4" w:space="0" w:color="000000"/>
              <w:bottom w:val="single" w:sz="4" w:space="0" w:color="000000"/>
              <w:end w:val="single" w:sz="4" w:space="0" w:color="000000"/>
            </w:tcBorders>
            <w:vAlign w:val="center"/>
          </w:tcPr>
          <w:p>
            <w:pPr>
              <w:pStyle w:val="Normal"/>
              <w:widowControl w:val="false"/>
              <w:jc w:val="center"/>
              <w:rPr>
                <w:lang w:val="bg-BG"/>
              </w:rPr>
            </w:pPr>
            <w:r>
              <w:rPr>
                <w:lang w:val="bg-BG"/>
              </w:rPr>
              <w:t>Предложение за подобрение</w:t>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  Има ли законови изисквания</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9"/>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18" w:name="Unnamed_копие_9"/>
            <w:bookmarkStart w:id="19" w:name="Unnamed_копие_9"/>
            <w:bookmarkEnd w:id="19"/>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0"/>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20" w:name="Unnamed_копие_10"/>
            <w:bookmarkStart w:id="21" w:name="Unnamed_копие_10"/>
            <w:bookmarkEnd w:id="21"/>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2.  Отговаря ли на законови или други изисквания</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1"/>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22" w:name="Unnamed_копие_11"/>
            <w:bookmarkStart w:id="23" w:name="Unnamed_копие_11"/>
            <w:bookmarkEnd w:id="23"/>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2"/>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24" w:name="Unnamed_копие_12"/>
            <w:bookmarkStart w:id="25" w:name="Unnamed_копие_12"/>
            <w:bookmarkEnd w:id="25"/>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3.  В миналото възниквали ли са инциденти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3"/>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26" w:name="Unnamed_копие_13"/>
            <w:bookmarkStart w:id="27" w:name="Unnamed_копие_13"/>
            <w:bookmarkEnd w:id="27"/>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4"/>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28" w:name="Unnamed_копие_14"/>
            <w:bookmarkStart w:id="29" w:name="Unnamed_копие_14"/>
            <w:bookmarkEnd w:id="29"/>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4.  Възможни ли са инциденти при нормални условия</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5"/>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30" w:name="Unnamed_копие_15"/>
            <w:bookmarkStart w:id="31" w:name="Unnamed_копие_15"/>
            <w:bookmarkEnd w:id="31"/>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6"/>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32" w:name="Unnamed_копие_16"/>
            <w:bookmarkStart w:id="33" w:name="Unnamed_копие_16"/>
            <w:bookmarkEnd w:id="33"/>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5.  Възможни ли са инциденти при извънредни ситуации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7"/>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34" w:name="Unnamed_копие_17"/>
            <w:bookmarkStart w:id="35" w:name="Unnamed_копие_17"/>
            <w:bookmarkEnd w:id="35"/>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8"/>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36" w:name="Unnamed_копие_18"/>
            <w:bookmarkStart w:id="37" w:name="Unnamed_копие_18"/>
            <w:bookmarkEnd w:id="37"/>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6.  Възможно ли е планиране за действия в извънредни ситуации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19"/>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38" w:name="Unnamed_копие_19"/>
            <w:bookmarkStart w:id="39" w:name="Unnamed_копие_19"/>
            <w:bookmarkEnd w:id="39"/>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0"/>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40" w:name="Unnamed_копие_20"/>
            <w:bookmarkStart w:id="41" w:name="Unnamed_копие_20"/>
            <w:bookmarkEnd w:id="41"/>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7.  Определени ли са отговорностите и отговорниците</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1"/>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42" w:name="Unnamed_копие_21"/>
            <w:bookmarkStart w:id="43" w:name="Unnamed_копие_21"/>
            <w:bookmarkEnd w:id="43"/>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2"/>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44" w:name="Unnamed_копие_22"/>
            <w:bookmarkStart w:id="45" w:name="Unnamed_копие_22"/>
            <w:bookmarkEnd w:id="45"/>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8.  Създадени ли са документи (процедури, инструкции)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3"/>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46" w:name="Unnamed_копие_23"/>
            <w:bookmarkStart w:id="47" w:name="Unnamed_копие_23"/>
            <w:bookmarkEnd w:id="47"/>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4"/>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48" w:name="Unnamed_копие_24"/>
            <w:bookmarkStart w:id="49" w:name="Unnamed_копие_24"/>
            <w:bookmarkEnd w:id="49"/>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9.  Водят ли се записи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5"/>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50" w:name="Unnamed_копие_25"/>
            <w:bookmarkStart w:id="51" w:name="Unnamed_копие_25"/>
            <w:bookmarkEnd w:id="51"/>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6"/>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52" w:name="Unnamed_копие_26"/>
            <w:bookmarkStart w:id="53" w:name="Unnamed_копие_26"/>
            <w:bookmarkEnd w:id="53"/>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10. Записите позволяват ли одит на процеса</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7"/>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54" w:name="Unnamed_копие_27"/>
            <w:bookmarkStart w:id="55" w:name="Unnamed_копие_27"/>
            <w:bookmarkEnd w:id="55"/>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8"/>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56" w:name="Unnamed_копие_28"/>
            <w:bookmarkStart w:id="57" w:name="Unnamed_копие_28"/>
            <w:bookmarkEnd w:id="57"/>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11. Въздейства ли на</w:t>
            </w:r>
          </w:p>
        </w:tc>
        <w:tc>
          <w:tcPr>
            <w:tcW w:w="9000"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11.1. Доставчици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29"/>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58" w:name="Unnamed_копие_29"/>
            <w:bookmarkStart w:id="59" w:name="Unnamed_копие_29"/>
            <w:bookmarkEnd w:id="59"/>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0"/>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60" w:name="Unnamed_копие_30"/>
            <w:bookmarkStart w:id="61" w:name="Unnamed_копие_30"/>
            <w:bookmarkEnd w:id="61"/>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11.2. Клиенти</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1"/>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62" w:name="Unnamed_копие_31"/>
            <w:bookmarkStart w:id="63" w:name="Unnamed_копие_31"/>
            <w:bookmarkEnd w:id="63"/>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2"/>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64" w:name="Unnamed_копие_32"/>
            <w:bookmarkStart w:id="65" w:name="Unnamed_копие_32"/>
            <w:bookmarkEnd w:id="65"/>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11.3. Персонал</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3"/>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66" w:name="Unnamed_копие_33"/>
            <w:bookmarkStart w:id="67" w:name="Unnamed_копие_33"/>
            <w:bookmarkEnd w:id="67"/>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4"/>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68" w:name="Unnamed_копие_34"/>
            <w:bookmarkStart w:id="69" w:name="Unnamed_копие_34"/>
            <w:bookmarkEnd w:id="69"/>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12. Процесът повторяем ли е</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5"/>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70" w:name="Unnamed_копие_35"/>
            <w:bookmarkStart w:id="71" w:name="Unnamed_копие_35"/>
            <w:bookmarkEnd w:id="71"/>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6"/>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72" w:name="Unnamed_копие_36"/>
            <w:bookmarkStart w:id="73" w:name="Unnamed_копие_36"/>
            <w:bookmarkEnd w:id="73"/>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13. Допълнителна информация</w:t>
            </w:r>
          </w:p>
        </w:tc>
        <w:tc>
          <w:tcPr>
            <w:tcW w:w="9000"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13.1. Начин на извършване на мониторинг</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7"/>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74" w:name="Unnamed_копие_37"/>
            <w:bookmarkStart w:id="75" w:name="Unnamed_копие_37"/>
            <w:bookmarkEnd w:id="75"/>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8"/>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76" w:name="Unnamed_копие_38"/>
            <w:bookmarkStart w:id="77" w:name="Unnamed_копие_38"/>
            <w:bookmarkEnd w:id="77"/>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13.2. Използвани инструкции за оперативно управление</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39"/>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78" w:name="Unnamed_копие_39"/>
            <w:bookmarkStart w:id="79" w:name="Unnamed_копие_39"/>
            <w:bookmarkEnd w:id="79"/>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jc w:val="center"/>
              <w:outlineLvl w:val="1"/>
              <w:rPr>
                <w:lang w:val="bg-BG"/>
              </w:rPr>
            </w:pPr>
            <w:r>
              <w:fldChar w:fldCharType="begin">
                <w:ffData>
                  <w:name w:val="Unnamed копие 40"/>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80" w:name="Unnamed_копие_40"/>
            <w:bookmarkStart w:id="81" w:name="Unnamed_копие_40"/>
            <w:bookmarkEnd w:id="81"/>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lang w:val="bg-BG"/>
              </w:rPr>
            </w:pPr>
            <w:r>
              <w:rPr>
                <w:lang w:val="bg-BG"/>
              </w:rPr>
            </w:r>
          </w:p>
        </w:tc>
      </w:tr>
      <w:tr>
        <w:trPr>
          <w:cantSplit/>
        </w:trPr>
        <w:tc>
          <w:tcPr>
            <w:tcW w:w="676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lang w:val="bg-BG"/>
              </w:rPr>
            </w:pPr>
            <w:r>
              <w:rPr>
                <w:lang w:val="bg-BG"/>
              </w:rPr>
              <w:t>13.3. Има ли утвърдени програми по ОС</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lang w:val="bg-BG"/>
              </w:rPr>
            </w:pPr>
            <w:r>
              <w:fldChar w:fldCharType="begin">
                <w:ffData>
                  <w:name w:val="Unnamed копие 41"/>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82" w:name="Unnamed_копие_41"/>
            <w:bookmarkStart w:id="83" w:name="Unnamed_копие_41"/>
            <w:bookmarkEnd w:id="83"/>
            <w:r/>
            <w:r>
              <w:rPr>
                <w:effect w:val="blinkBackground"/>
                <w:lang w:val="bg-BG"/>
              </w:rPr>
              <w:fldChar w:fldCharType="end"/>
            </w:r>
            <w:r>
              <w:rPr>
                <w:effect w:val="blinkBackground"/>
                <w:lang w:val="bg-BG"/>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
                <w:lang w:val="bg-BG"/>
              </w:rPr>
            </w:pPr>
            <w:r>
              <w:fldChar w:fldCharType="begin">
                <w:ffData>
                  <w:name w:val="Unnamed копие 42"/>
                  <w:enabled/>
                  <w:calcOnExit w:val="0"/>
                  <w:checkBox>
                    <w:sizeAuto/>
                  </w:checkBox>
                </w:ffData>
              </w:fldChar>
            </w:r>
            <w:r>
              <w:rPr>
                <w:effect w:val="blinkBackground"/>
                <w:lang w:val="bg-BG"/>
              </w:rPr>
              <w:instrText xml:space="preserve"> FORMCHECKBOX </w:instrText>
            </w:r>
            <w:r>
              <w:rPr>
                <w:effect w:val="blinkBackground"/>
                <w:lang w:val="bg-BG"/>
              </w:rPr>
              <w:fldChar w:fldCharType="separate"/>
            </w:r>
            <w:bookmarkStart w:id="84" w:name="Unnamed_копие_42"/>
            <w:bookmarkStart w:id="85" w:name="Unnamed_копие_42"/>
            <w:bookmarkEnd w:id="85"/>
            <w:r/>
            <w:r>
              <w:rPr>
                <w:effect w:val="blinkBackground"/>
                <w:lang w:val="bg-BG"/>
              </w:rPr>
              <w:fldChar w:fldCharType="end"/>
            </w:r>
            <w:r>
              <w:rPr>
                <w:effect w:val="blinkBackground"/>
                <w:lang w:val="bg-BG"/>
              </w:rPr>
            </w:r>
          </w:p>
        </w:tc>
        <w:tc>
          <w:tcPr>
            <w:tcW w:w="61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center"/>
              <w:rPr>
                <w:b/>
                <w:lang w:val="bg-BG"/>
              </w:rPr>
            </w:pPr>
            <w:r>
              <w:rPr>
                <w:b/>
                <w:lang w:val="bg-BG"/>
              </w:rPr>
            </w:r>
          </w:p>
        </w:tc>
      </w:tr>
    </w:tbl>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t xml:space="preserve">Дата:……………… г. </w:t>
        <w:tab/>
        <w:tab/>
        <w:tab/>
        <w:tab/>
        <w:tab/>
        <w:tab/>
        <w:tab/>
        <w:tab/>
        <w:tab/>
        <w:tab/>
        <w:tab/>
        <w:t>ИЗГОТВИЛ:……………………………………...</w:t>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Style12"/>
        <w:widowControl w:val="false"/>
        <w:numPr>
          <w:ilvl w:val="0"/>
          <w:numId w:val="0"/>
        </w:numPr>
        <w:ind w:hanging="0" w:start="0"/>
        <w:jc w:val="end"/>
        <w:rPr>
          <w:sz w:val="24"/>
          <w:szCs w:val="24"/>
          <w:lang w:val="en-US"/>
        </w:rPr>
      </w:pPr>
      <w:r>
        <w:rPr>
          <w:sz w:val="24"/>
          <w:szCs w:val="24"/>
          <w:lang w:val="en-US"/>
        </w:rPr>
        <w:t>QEMR-Q-F-PR-09-002</w:t>
      </w:r>
    </w:p>
    <w:p>
      <w:pPr>
        <w:pStyle w:val="Normal"/>
        <w:widowControl w:val="false"/>
        <w:spacing w:before="60" w:after="0"/>
        <w:ind w:start="10490" w:end="0"/>
        <w:jc w:val="both"/>
        <w:rPr>
          <w:b/>
          <w:sz w:val="24"/>
          <w:lang w:val="bg-BG"/>
        </w:rPr>
      </w:pPr>
      <w:r>
        <w:rPr>
          <w:b/>
          <w:sz w:val="24"/>
          <w:lang w:val="bg-BG"/>
        </w:rPr>
        <w:t>УТВЪРДИЛ:</w:t>
      </w:r>
    </w:p>
    <w:p>
      <w:pPr>
        <w:pStyle w:val="Normal"/>
        <w:widowControl w:val="false"/>
        <w:spacing w:before="60" w:after="0"/>
        <w:jc w:val="end"/>
        <w:rPr>
          <w:b/>
          <w:caps/>
          <w:sz w:val="24"/>
          <w:szCs w:val="24"/>
          <w:lang w:val="bg-BG"/>
        </w:rPr>
      </w:pPr>
      <w:r>
        <w:rPr>
          <w:b/>
          <w:caps/>
          <w:sz w:val="24"/>
          <w:szCs w:val="24"/>
          <w:lang w:val="bg-BG"/>
        </w:rPr>
        <w:t xml:space="preserve"> </w:t>
      </w:r>
    </w:p>
    <w:p>
      <w:pPr>
        <w:pStyle w:val="Normal"/>
        <w:widowControl w:val="false"/>
        <w:spacing w:before="60" w:after="0"/>
        <w:jc w:val="center"/>
        <w:rPr>
          <w:b/>
          <w:caps/>
          <w:sz w:val="24"/>
          <w:szCs w:val="24"/>
          <w:lang w:val="bg-BG"/>
        </w:rPr>
      </w:pPr>
      <w:r>
        <w:rPr>
          <w:b/>
          <w:lang w:val="bg-BG"/>
        </w:rPr>
        <w:t>МАТРИЦА</w:t>
      </w:r>
    </w:p>
    <w:p>
      <w:pPr>
        <w:pStyle w:val="Normal"/>
        <w:widowControl w:val="false"/>
        <w:spacing w:before="60" w:after="0"/>
        <w:jc w:val="center"/>
        <w:rPr>
          <w:b/>
          <w:lang w:val="bg-BG"/>
        </w:rPr>
      </w:pPr>
      <w:r>
        <w:rPr>
          <w:b/>
          <w:lang w:val="bg-BG"/>
        </w:rPr>
        <w:t>ЗА ИДЕНТИФИЦИРАНЕ НА АСПЕКТИ И ОЦЕНКА НА ВЪЗДЕЙСТВИЯ</w:t>
      </w:r>
    </w:p>
    <w:p>
      <w:pPr>
        <w:pStyle w:val="Normal"/>
        <w:widowControl w:val="false"/>
        <w:spacing w:before="60" w:after="0"/>
        <w:jc w:val="center"/>
        <w:rPr>
          <w:b/>
          <w:sz w:val="24"/>
          <w:lang w:val="bg-BG"/>
        </w:rPr>
      </w:pPr>
      <w:r>
        <w:rPr>
          <w:b/>
          <w:lang w:val="bg-BG"/>
        </w:rPr>
        <w:t>ВЪРХУ ОКОЛНАТА СРЕДА</w:t>
      </w:r>
    </w:p>
    <w:p>
      <w:pPr>
        <w:pStyle w:val="Normal"/>
        <w:widowControl w:val="false"/>
        <w:spacing w:before="60" w:after="0"/>
        <w:jc w:val="center"/>
        <w:rPr>
          <w:b/>
          <w:sz w:val="16"/>
          <w:lang w:val="bg-BG"/>
        </w:rPr>
      </w:pPr>
      <w:r>
        <w:rPr>
          <w:b/>
          <w:sz w:val="16"/>
          <w:lang w:val="bg-BG"/>
        </w:rPr>
      </w:r>
    </w:p>
    <w:p>
      <w:pPr>
        <w:pStyle w:val="Normal"/>
        <w:widowControl w:val="false"/>
        <w:spacing w:before="60" w:after="0"/>
        <w:jc w:val="center"/>
        <w:rPr>
          <w:b/>
          <w:sz w:val="16"/>
          <w:lang w:val="bg-BG"/>
        </w:rPr>
      </w:pPr>
      <w:r>
        <w:rPr>
          <w:b/>
          <w:sz w:val="16"/>
          <w:lang w:val="bg-BG"/>
        </w:rPr>
      </w:r>
    </w:p>
    <w:tbl>
      <w:tblPr>
        <w:tblW w:w="14502" w:type="dxa"/>
        <w:jc w:val="center"/>
        <w:tblInd w:w="0" w:type="dxa"/>
        <w:tblLayout w:type="fixed"/>
        <w:tblCellMar>
          <w:top w:w="0" w:type="dxa"/>
          <w:start w:w="108" w:type="dxa"/>
          <w:bottom w:w="0" w:type="dxa"/>
          <w:end w:w="108" w:type="dxa"/>
        </w:tblCellMar>
      </w:tblPr>
      <w:tblGrid>
        <w:gridCol w:w="2421"/>
        <w:gridCol w:w="2835"/>
        <w:gridCol w:w="1276"/>
        <w:gridCol w:w="1028"/>
        <w:gridCol w:w="1080"/>
        <w:gridCol w:w="1350"/>
        <w:gridCol w:w="1350"/>
        <w:gridCol w:w="990"/>
        <w:gridCol w:w="1080"/>
        <w:gridCol w:w="1092"/>
      </w:tblGrid>
      <w:tr>
        <w:trPr>
          <w:trHeight w:val="818" w:hRule="atLeast"/>
        </w:trPr>
        <w:tc>
          <w:tcPr>
            <w:tcW w:w="24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18"/>
                <w:szCs w:val="18"/>
                <w:lang w:val="bg-BG"/>
              </w:rPr>
            </w:pPr>
            <w:r>
              <w:rPr>
                <w:b/>
                <w:sz w:val="18"/>
                <w:szCs w:val="18"/>
                <w:lang w:val="bg-BG"/>
              </w:rPr>
              <w:t>Дейност</w:t>
            </w:r>
          </w:p>
        </w:tc>
        <w:tc>
          <w:tcPr>
            <w:tcW w:w="28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360" w:after="0"/>
              <w:jc w:val="center"/>
              <w:rPr>
                <w:b/>
                <w:sz w:val="18"/>
                <w:szCs w:val="18"/>
                <w:lang w:val="bg-BG"/>
              </w:rPr>
            </w:pPr>
            <w:r>
              <w:rPr>
                <w:b/>
                <w:sz w:val="18"/>
                <w:szCs w:val="18"/>
                <w:lang w:val="bg-BG"/>
              </w:rPr>
              <w:t>Аспект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before="360" w:after="0"/>
              <w:jc w:val="both"/>
              <w:outlineLvl w:val="1"/>
              <w:rPr>
                <w:b/>
                <w:sz w:val="18"/>
                <w:szCs w:val="18"/>
                <w:lang w:val="bg-BG"/>
              </w:rPr>
            </w:pPr>
            <w:r>
              <w:rPr>
                <w:b/>
                <w:sz w:val="18"/>
                <w:szCs w:val="18"/>
                <w:lang w:val="bg-BG"/>
              </w:rPr>
              <w:t>Въздействие</w:t>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18"/>
                <w:szCs w:val="18"/>
                <w:lang w:val="bg-BG"/>
              </w:rPr>
            </w:pPr>
            <w:r>
              <w:rPr>
                <w:b/>
                <w:sz w:val="18"/>
                <w:szCs w:val="18"/>
                <w:lang w:val="bg-BG"/>
              </w:rPr>
              <w:t>Тежест</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tabs>
                <w:tab w:val="clear" w:pos="720"/>
                <w:tab w:val="left" w:pos="851" w:leader="none"/>
              </w:tabs>
              <w:spacing w:before="60" w:after="0"/>
              <w:jc w:val="both"/>
              <w:outlineLvl w:val="2"/>
              <w:rPr>
                <w:b/>
                <w:sz w:val="18"/>
                <w:szCs w:val="18"/>
                <w:lang w:val="bg-BG"/>
              </w:rPr>
            </w:pPr>
            <w:r>
              <w:rPr>
                <w:b/>
                <w:sz w:val="18"/>
                <w:szCs w:val="18"/>
                <w:lang w:val="bg-BG"/>
              </w:rPr>
              <w:t>Честота</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18"/>
                <w:szCs w:val="18"/>
                <w:lang w:val="bg-BG"/>
              </w:rPr>
            </w:pPr>
            <w:r>
              <w:rPr>
                <w:b/>
                <w:sz w:val="18"/>
                <w:szCs w:val="18"/>
                <w:lang w:val="bg-BG"/>
              </w:rPr>
              <w:t>Риск за проявление</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18"/>
                <w:szCs w:val="18"/>
                <w:lang w:val="bg-BG"/>
              </w:rPr>
            </w:pPr>
            <w:r>
              <w:rPr>
                <w:b/>
                <w:sz w:val="18"/>
                <w:szCs w:val="18"/>
                <w:lang w:val="bg-BG"/>
              </w:rPr>
              <w:t>Нормативно изискване</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both"/>
              <w:rPr>
                <w:b/>
                <w:sz w:val="18"/>
                <w:szCs w:val="18"/>
                <w:lang w:val="bg-BG"/>
              </w:rPr>
            </w:pPr>
            <w:r>
              <w:rPr>
                <w:b/>
                <w:sz w:val="18"/>
                <w:szCs w:val="18"/>
                <w:lang w:val="bg-BG"/>
              </w:rPr>
              <w:t>Минали аварии</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18"/>
                <w:szCs w:val="18"/>
                <w:lang w:val="bg-BG"/>
              </w:rPr>
            </w:pPr>
            <w:r>
              <w:rPr>
                <w:b/>
                <w:sz w:val="18"/>
                <w:szCs w:val="18"/>
                <w:lang w:val="bg-BG"/>
              </w:rPr>
              <w:t>Липса на инфор-мация</w:t>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18"/>
                <w:szCs w:val="18"/>
                <w:lang w:val="bg-BG"/>
              </w:rPr>
            </w:pPr>
            <w:r>
              <w:rPr>
                <w:b/>
                <w:sz w:val="18"/>
                <w:szCs w:val="18"/>
                <w:lang w:val="bg-BG"/>
              </w:rPr>
              <w:t>Оценка на въздей-ствието</w:t>
            </w:r>
          </w:p>
        </w:tc>
      </w:tr>
      <w:tr>
        <w:trPr>
          <w:trHeight w:val="180" w:hRule="atLeast"/>
        </w:trPr>
        <w:tc>
          <w:tcPr>
            <w:tcW w:w="24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18"/>
                <w:szCs w:val="18"/>
                <w:lang w:val="bg-BG"/>
              </w:rPr>
            </w:pPr>
            <w:r>
              <w:rPr>
                <w:b/>
                <w:sz w:val="18"/>
                <w:szCs w:val="18"/>
                <w:lang w:val="bg-BG"/>
              </w:rPr>
            </w:r>
          </w:p>
        </w:tc>
        <w:tc>
          <w:tcPr>
            <w:tcW w:w="28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lang w:val="bg-BG"/>
              </w:rPr>
            </w:pPr>
            <w:r>
              <w:rPr>
                <w:b/>
                <w:lang w:val="bg-BG"/>
              </w:rPr>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lang w:val="bg-BG"/>
              </w:rPr>
            </w:pPr>
            <w:r>
              <w:rPr>
                <w:b/>
                <w:lang w:val="bg-BG"/>
              </w:rPr>
            </w:r>
          </w:p>
        </w:tc>
        <w:tc>
          <w:tcPr>
            <w:tcW w:w="1028"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pPr>
            <w:r>
              <w:rPr>
                <w:b/>
                <w:lang w:val="bg-BG"/>
              </w:rPr>
              <w:t>К</w:t>
            </w:r>
            <w:r>
              <w:rPr>
                <w:b/>
                <w:sz w:val="16"/>
                <w:lang w:val="bg-BG"/>
              </w:rPr>
              <w:t>1</w:t>
            </w:r>
            <w:r>
              <w:rPr>
                <w:b/>
                <w:lang w:val="bg-BG"/>
              </w:rPr>
              <w:t>= 1-3</w:t>
            </w:r>
          </w:p>
        </w:tc>
        <w:tc>
          <w:tcPr>
            <w:tcW w:w="108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pPr>
            <w:r>
              <w:rPr>
                <w:b/>
                <w:lang w:val="bg-BG"/>
              </w:rPr>
              <w:t>К</w:t>
            </w:r>
            <w:r>
              <w:rPr>
                <w:b/>
                <w:sz w:val="16"/>
                <w:lang w:val="bg-BG"/>
              </w:rPr>
              <w:t>2</w:t>
            </w:r>
            <w:r>
              <w:rPr>
                <w:b/>
                <w:lang w:val="bg-BG"/>
              </w:rPr>
              <w:t>= 1-5</w:t>
            </w:r>
          </w:p>
        </w:tc>
        <w:tc>
          <w:tcPr>
            <w:tcW w:w="135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lang w:val="bg-BG"/>
              </w:rPr>
            </w:pPr>
            <w:r>
              <w:rPr>
                <w:b/>
                <w:lang w:val="bg-BG"/>
              </w:rPr>
              <w:t>Кз=К</w:t>
            </w:r>
            <w:r>
              <w:rPr>
                <w:b/>
                <w:sz w:val="16"/>
                <w:lang w:val="bg-BG"/>
              </w:rPr>
              <w:t>1</w:t>
            </w:r>
            <w:r>
              <w:rPr>
                <w:b/>
                <w:lang w:val="bg-BG"/>
              </w:rPr>
              <w:t>*К</w:t>
            </w:r>
            <w:r>
              <w:rPr>
                <w:b/>
                <w:sz w:val="16"/>
                <w:lang w:val="bg-BG"/>
              </w:rPr>
              <w:t>2</w:t>
            </w:r>
          </w:p>
        </w:tc>
        <w:tc>
          <w:tcPr>
            <w:tcW w:w="135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pPr>
            <w:r>
              <w:rPr>
                <w:b/>
                <w:lang w:val="bg-BG"/>
              </w:rPr>
              <w:t>К</w:t>
            </w:r>
            <w:r>
              <w:rPr>
                <w:b/>
                <w:sz w:val="16"/>
                <w:lang w:val="bg-BG"/>
              </w:rPr>
              <w:t>4</w:t>
            </w:r>
            <w:r>
              <w:rPr>
                <w:b/>
                <w:lang w:val="bg-BG"/>
              </w:rPr>
              <w:t>=0;15</w:t>
            </w:r>
          </w:p>
        </w:tc>
        <w:tc>
          <w:tcPr>
            <w:tcW w:w="99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pPr>
            <w:r>
              <w:rPr>
                <w:b/>
                <w:lang w:val="bg-BG"/>
              </w:rPr>
              <w:t>К</w:t>
            </w:r>
            <w:r>
              <w:rPr>
                <w:b/>
                <w:sz w:val="16"/>
                <w:lang w:val="bg-BG"/>
              </w:rPr>
              <w:t>5</w:t>
            </w:r>
            <w:r>
              <w:rPr>
                <w:b/>
                <w:lang w:val="bg-BG"/>
              </w:rPr>
              <w:t>=0;15</w:t>
            </w:r>
          </w:p>
        </w:tc>
        <w:tc>
          <w:tcPr>
            <w:tcW w:w="1080"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pPr>
            <w:r>
              <w:rPr>
                <w:b/>
                <w:lang w:val="bg-BG"/>
              </w:rPr>
              <w:t>К</w:t>
            </w:r>
            <w:r>
              <w:rPr>
                <w:b/>
                <w:sz w:val="16"/>
                <w:lang w:val="bg-BG"/>
              </w:rPr>
              <w:t>6</w:t>
            </w:r>
            <w:r>
              <w:rPr>
                <w:b/>
                <w:lang w:val="bg-BG"/>
              </w:rPr>
              <w:t>=0;15</w:t>
            </w:r>
          </w:p>
        </w:tc>
        <w:tc>
          <w:tcPr>
            <w:tcW w:w="1092" w:type="dxa"/>
            <w:tcBorders>
              <w:top w:val="sing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lang w:val="bg-BG"/>
              </w:rPr>
            </w:pPr>
            <w:r>
              <w:rPr>
                <w:b/>
                <w:lang w:val="bg-BG"/>
              </w:rPr>
              <w:t>К</w:t>
            </w:r>
          </w:p>
        </w:tc>
      </w:tr>
      <w:tr>
        <w:trPr/>
        <w:tc>
          <w:tcPr>
            <w:tcW w:w="2421"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1</w:t>
            </w:r>
          </w:p>
        </w:tc>
        <w:tc>
          <w:tcPr>
            <w:tcW w:w="2835"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2</w:t>
            </w:r>
          </w:p>
        </w:tc>
        <w:tc>
          <w:tcPr>
            <w:tcW w:w="1276"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3</w:t>
            </w:r>
          </w:p>
        </w:tc>
        <w:tc>
          <w:tcPr>
            <w:tcW w:w="1028"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4</w:t>
            </w:r>
          </w:p>
        </w:tc>
        <w:tc>
          <w:tcPr>
            <w:tcW w:w="1080"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5</w:t>
            </w:r>
          </w:p>
        </w:tc>
        <w:tc>
          <w:tcPr>
            <w:tcW w:w="1350"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6</w:t>
            </w:r>
          </w:p>
        </w:tc>
        <w:tc>
          <w:tcPr>
            <w:tcW w:w="1350"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7</w:t>
            </w:r>
          </w:p>
        </w:tc>
        <w:tc>
          <w:tcPr>
            <w:tcW w:w="990"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8</w:t>
            </w:r>
          </w:p>
        </w:tc>
        <w:tc>
          <w:tcPr>
            <w:tcW w:w="1080"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9</w:t>
            </w:r>
          </w:p>
        </w:tc>
        <w:tc>
          <w:tcPr>
            <w:tcW w:w="1092" w:type="dxa"/>
            <w:tcBorders>
              <w:top w:val="double" w:sz="4" w:space="0" w:color="000000"/>
              <w:start w:val="single" w:sz="4" w:space="0" w:color="000000"/>
              <w:bottom w:val="doub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10</w:t>
            </w:r>
          </w:p>
        </w:tc>
      </w:tr>
      <w:tr>
        <w:trPr>
          <w:trHeight w:val="339" w:hRule="atLeast"/>
        </w:trPr>
        <w:tc>
          <w:tcPr>
            <w:tcW w:w="2421"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both"/>
              <w:rPr>
                <w:b/>
                <w:sz w:val="22"/>
                <w:szCs w:val="22"/>
                <w:lang w:val="bg-BG"/>
              </w:rPr>
            </w:pPr>
            <w:r>
              <w:rPr>
                <w:b/>
                <w:sz w:val="22"/>
                <w:szCs w:val="22"/>
                <w:lang w:val="bg-BG"/>
              </w:rPr>
            </w:r>
          </w:p>
        </w:tc>
        <w:tc>
          <w:tcPr>
            <w:tcW w:w="2835"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276"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028"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08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35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35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99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080"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c>
          <w:tcPr>
            <w:tcW w:w="1092" w:type="dxa"/>
            <w:tcBorders>
              <w:top w:val="doub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20" w:after="0"/>
              <w:jc w:val="center"/>
              <w:rPr>
                <w:b/>
                <w:sz w:val="22"/>
                <w:szCs w:val="22"/>
                <w:lang w:val="bg-BG"/>
              </w:rPr>
            </w:pPr>
            <w:r>
              <w:rPr>
                <w:b/>
                <w:sz w:val="22"/>
                <w:szCs w:val="22"/>
                <w:lang w:val="bg-BG"/>
              </w:rPr>
            </w:r>
          </w:p>
        </w:tc>
      </w:tr>
      <w:tr>
        <w:trPr/>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22"/>
                <w:szCs w:val="22"/>
                <w:lang w:val="bg-BG"/>
              </w:rPr>
            </w:pPr>
            <w:r>
              <w:rPr>
                <w:b/>
                <w:sz w:val="22"/>
                <w:szCs w:val="22"/>
                <w:lang w:val="bg-BG"/>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r>
      <w:tr>
        <w:trPr/>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22"/>
                <w:szCs w:val="22"/>
                <w:lang w:val="bg-BG"/>
              </w:rPr>
            </w:pPr>
            <w:r>
              <w:rPr>
                <w:b/>
                <w:sz w:val="22"/>
                <w:szCs w:val="22"/>
                <w:lang w:val="bg-BG"/>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r>
      <w:tr>
        <w:trPr/>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22"/>
                <w:szCs w:val="22"/>
                <w:lang w:val="bg-BG"/>
              </w:rPr>
            </w:pPr>
            <w:r>
              <w:rPr>
                <w:b/>
                <w:sz w:val="22"/>
                <w:szCs w:val="22"/>
                <w:lang w:val="bg-BG"/>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r>
      <w:tr>
        <w:trPr/>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22"/>
                <w:szCs w:val="22"/>
                <w:lang w:val="bg-BG"/>
              </w:rPr>
            </w:pPr>
            <w:r>
              <w:rPr>
                <w:b/>
                <w:sz w:val="22"/>
                <w:szCs w:val="22"/>
                <w:lang w:val="bg-BG"/>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r>
      <w:tr>
        <w:trPr/>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22"/>
                <w:szCs w:val="22"/>
                <w:lang w:val="bg-BG"/>
              </w:rPr>
            </w:pPr>
            <w:r>
              <w:rPr>
                <w:b/>
                <w:sz w:val="22"/>
                <w:szCs w:val="22"/>
                <w:lang w:val="bg-BG"/>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r>
      <w:tr>
        <w:trPr/>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22"/>
                <w:szCs w:val="22"/>
                <w:lang w:val="bg-BG"/>
              </w:rPr>
            </w:pPr>
            <w:r>
              <w:rPr>
                <w:b/>
                <w:sz w:val="22"/>
                <w:szCs w:val="22"/>
                <w:lang w:val="bg-BG"/>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c>
          <w:tcPr>
            <w:tcW w:w="109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2"/>
                <w:szCs w:val="22"/>
                <w:lang w:val="bg-BG"/>
              </w:rPr>
            </w:pPr>
            <w:r>
              <w:rPr>
                <w:b/>
                <w:sz w:val="22"/>
                <w:szCs w:val="22"/>
                <w:lang w:val="bg-BG"/>
              </w:rPr>
            </w:r>
          </w:p>
        </w:tc>
      </w:tr>
    </w:tbl>
    <w:p>
      <w:pPr>
        <w:pStyle w:val="Normal"/>
        <w:widowControl w:val="false"/>
        <w:spacing w:before="60" w:after="0"/>
        <w:jc w:val="both"/>
        <w:rPr>
          <w:lang w:val="bg-BG"/>
        </w:rPr>
      </w:pPr>
      <w:r>
        <w:rPr>
          <w:lang w:val="bg-BG"/>
        </w:rPr>
      </w:r>
    </w:p>
    <w:p>
      <w:pPr>
        <w:pStyle w:val="Normal"/>
        <w:widowControl w:val="false"/>
        <w:spacing w:before="60" w:after="0"/>
        <w:jc w:val="both"/>
        <w:rPr>
          <w:sz w:val="22"/>
          <w:szCs w:val="22"/>
          <w:lang w:val="bg-BG"/>
        </w:rPr>
      </w:pPr>
      <w:r>
        <w:rPr>
          <w:lang w:val="bg-BG"/>
        </w:rPr>
        <w:t xml:space="preserve">Дата:……………… г. </w:t>
        <w:tab/>
        <w:tab/>
        <w:tab/>
        <w:tab/>
        <w:tab/>
        <w:tab/>
        <w:tab/>
        <w:tab/>
        <w:tab/>
        <w:tab/>
        <w:tab/>
        <w:t>ИЗГОТВИЛ:……………………………………...</w:t>
      </w:r>
    </w:p>
    <w:p>
      <w:pPr>
        <w:pStyle w:val="Style12"/>
        <w:widowControl w:val="false"/>
        <w:numPr>
          <w:ilvl w:val="0"/>
          <w:numId w:val="0"/>
        </w:numPr>
        <w:ind w:hanging="0" w:start="0"/>
        <w:jc w:val="end"/>
        <w:rPr>
          <w:sz w:val="24"/>
          <w:szCs w:val="24"/>
          <w:lang w:val="en-US"/>
        </w:rPr>
      </w:pPr>
      <w:r>
        <w:rPr>
          <w:sz w:val="24"/>
          <w:szCs w:val="24"/>
          <w:lang w:val="en-US"/>
        </w:rPr>
        <w:t>QEMR-Q-F-PR-09-003</w:t>
      </w:r>
    </w:p>
    <w:p>
      <w:pPr>
        <w:pStyle w:val="Normal"/>
        <w:keepNext w:val="true"/>
        <w:numPr>
          <w:ilvl w:val="0"/>
          <w:numId w:val="0"/>
        </w:numPr>
        <w:spacing w:before="240" w:after="60"/>
        <w:jc w:val="center"/>
        <w:outlineLvl w:val="0"/>
        <w:rPr>
          <w:b/>
          <w:kern w:val="2"/>
          <w:sz w:val="28"/>
          <w:lang w:val="bg-BG"/>
        </w:rPr>
      </w:pPr>
      <w:r>
        <w:rPr>
          <w:b/>
          <w:kern w:val="2"/>
          <w:sz w:val="28"/>
          <w:lang w:val="bg-BG"/>
        </w:rPr>
        <w:t>СКАЛА ЗА ЗНАЧИМОСТТА НА АСПЕКТИТЕ НА ОКОЛНАТА СРЕДА</w:t>
      </w:r>
    </w:p>
    <w:p>
      <w:pPr>
        <w:pStyle w:val="Normal"/>
        <w:widowControl w:val="false"/>
        <w:spacing w:before="60" w:after="0"/>
        <w:jc w:val="both"/>
        <w:rPr>
          <w:b/>
          <w:kern w:val="2"/>
          <w:sz w:val="24"/>
          <w:lang w:val="bg-BG"/>
        </w:rPr>
      </w:pPr>
      <w:r>
        <w:rPr>
          <w:b/>
          <w:kern w:val="2"/>
          <w:sz w:val="24"/>
          <w:lang w:val="bg-BG"/>
        </w:rPr>
      </w:r>
    </w:p>
    <w:tbl>
      <w:tblPr>
        <w:tblW w:w="15054" w:type="dxa"/>
        <w:jc w:val="center"/>
        <w:tblInd w:w="0" w:type="dxa"/>
        <w:tblLayout w:type="fixed"/>
        <w:tblCellMar>
          <w:top w:w="0" w:type="dxa"/>
          <w:start w:w="108" w:type="dxa"/>
          <w:bottom w:w="0" w:type="dxa"/>
          <w:end w:w="108" w:type="dxa"/>
        </w:tblCellMar>
      </w:tblPr>
      <w:tblGrid>
        <w:gridCol w:w="935"/>
        <w:gridCol w:w="3319"/>
        <w:gridCol w:w="2924"/>
        <w:gridCol w:w="942"/>
        <w:gridCol w:w="994"/>
        <w:gridCol w:w="1059"/>
        <w:gridCol w:w="1800"/>
        <w:gridCol w:w="1620"/>
        <w:gridCol w:w="1461"/>
      </w:tblGrid>
      <w:tr>
        <w:trPr>
          <w:trHeight w:val="453" w:hRule="atLeast"/>
        </w:trPr>
        <w:tc>
          <w:tcPr>
            <w:tcW w:w="9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lang w:val="bg-BG"/>
              </w:rPr>
            </w:pPr>
            <w:r>
              <w:rPr>
                <w:lang w:val="bg-BG"/>
              </w:rPr>
              <w:t>Оценка</w:t>
            </w:r>
          </w:p>
        </w:tc>
        <w:tc>
          <w:tcPr>
            <w:tcW w:w="33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lang w:val="bg-BG"/>
              </w:rPr>
            </w:pPr>
            <w:r>
              <w:rPr>
                <w:lang w:val="bg-BG"/>
              </w:rPr>
              <w:t>Описание, критерии и цифров еквивалент на критериите</w:t>
            </w:r>
          </w:p>
        </w:tc>
        <w:tc>
          <w:tcPr>
            <w:tcW w:w="5919"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lang w:val="bg-BG"/>
              </w:rPr>
            </w:pPr>
            <w:r>
              <w:rPr>
                <w:lang w:val="bg-BG"/>
              </w:rPr>
              <w:t>Дейност или аспект, № от матрицата, контролна карта №, оценка</w:t>
            </w:r>
          </w:p>
        </w:tc>
        <w:tc>
          <w:tcPr>
            <w:tcW w:w="4881" w:type="dxa"/>
            <w:gridSpan w:val="3"/>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before="60" w:after="0"/>
              <w:ind w:start="180" w:end="0"/>
              <w:jc w:val="center"/>
              <w:outlineLvl w:val="1"/>
              <w:rPr>
                <w:b/>
                <w:lang w:val="bg-BG"/>
              </w:rPr>
            </w:pPr>
            <w:r>
              <w:rPr>
                <w:b/>
                <w:lang w:val="bg-BG"/>
              </w:rPr>
              <w:t>Форма на управление</w:t>
            </w:r>
          </w:p>
        </w:tc>
      </w:tr>
      <w:tr>
        <w:trPr>
          <w:trHeight w:val="176" w:hRule="atLeast"/>
        </w:trPr>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both"/>
              <w:rPr>
                <w:b/>
                <w:sz w:val="18"/>
                <w:szCs w:val="18"/>
                <w:lang w:val="bg-BG"/>
              </w:rPr>
            </w:pPr>
            <w:r>
              <w:rPr>
                <w:b/>
                <w:sz w:val="18"/>
                <w:szCs w:val="18"/>
                <w:lang w:val="bg-BG"/>
              </w:rPr>
            </w:r>
          </w:p>
        </w:tc>
        <w:tc>
          <w:tcPr>
            <w:tcW w:w="33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sz w:val="18"/>
                <w:szCs w:val="18"/>
                <w:lang w:val="bg-BG"/>
              </w:rPr>
            </w:pPr>
            <w:r>
              <w:rPr>
                <w:sz w:val="18"/>
                <w:szCs w:val="18"/>
                <w:lang w:val="bg-BG"/>
              </w:rPr>
            </w:r>
          </w:p>
        </w:tc>
        <w:tc>
          <w:tcPr>
            <w:tcW w:w="29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Дейност или аспект</w:t>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 xml:space="preserve">№ </w:t>
            </w:r>
            <w:r>
              <w:rPr>
                <w:sz w:val="18"/>
                <w:szCs w:val="18"/>
                <w:lang w:val="bg-BG"/>
              </w:rPr>
              <w:t>от</w:t>
            </w:r>
          </w:p>
          <w:p>
            <w:pPr>
              <w:pStyle w:val="Normal"/>
              <w:widowControl w:val="false"/>
              <w:spacing w:before="60" w:after="0"/>
              <w:jc w:val="center"/>
              <w:rPr>
                <w:sz w:val="18"/>
                <w:szCs w:val="18"/>
                <w:lang w:val="bg-BG"/>
              </w:rPr>
            </w:pPr>
            <w:r>
              <w:rPr>
                <w:sz w:val="18"/>
                <w:szCs w:val="18"/>
                <w:lang w:val="bg-BG"/>
              </w:rPr>
              <w:t>матрица</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 xml:space="preserve">№ </w:t>
            </w:r>
            <w:r>
              <w:rPr>
                <w:sz w:val="18"/>
                <w:szCs w:val="18"/>
                <w:lang w:val="bg-BG"/>
              </w:rPr>
              <w:t xml:space="preserve">от </w:t>
            </w:r>
          </w:p>
          <w:p>
            <w:pPr>
              <w:pStyle w:val="Normal"/>
              <w:widowControl w:val="false"/>
              <w:spacing w:before="60" w:after="0"/>
              <w:jc w:val="center"/>
              <w:rPr>
                <w:sz w:val="18"/>
                <w:szCs w:val="18"/>
                <w:lang w:val="bg-BG"/>
              </w:rPr>
            </w:pPr>
            <w:r>
              <w:rPr>
                <w:sz w:val="18"/>
                <w:szCs w:val="18"/>
                <w:lang w:val="bg-BG"/>
              </w:rPr>
              <w:t>картата</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оценка</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Мониторинг</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Оперативно управление</w:t>
            </w:r>
          </w:p>
        </w:tc>
        <w:tc>
          <w:tcPr>
            <w:tcW w:w="14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sz w:val="18"/>
                <w:szCs w:val="18"/>
                <w:lang w:val="bg-BG"/>
              </w:rPr>
            </w:pPr>
            <w:r>
              <w:rPr>
                <w:sz w:val="18"/>
                <w:szCs w:val="18"/>
                <w:lang w:val="bg-BG"/>
              </w:rPr>
              <w:t>Програми за УОС</w:t>
            </w:r>
          </w:p>
        </w:tc>
      </w:tr>
      <w:tr>
        <w:trPr/>
        <w:tc>
          <w:tcPr>
            <w:tcW w:w="9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1</w:t>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2</w:t>
            </w:r>
          </w:p>
        </w:tc>
        <w:tc>
          <w:tcPr>
            <w:tcW w:w="29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3</w:t>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4</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5</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6</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7</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8</w:t>
            </w:r>
          </w:p>
        </w:tc>
        <w:tc>
          <w:tcPr>
            <w:tcW w:w="14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center"/>
              <w:rPr>
                <w:b/>
                <w:sz w:val="24"/>
                <w:lang w:val="bg-BG"/>
              </w:rPr>
            </w:pPr>
            <w:r>
              <w:rPr>
                <w:b/>
                <w:sz w:val="24"/>
                <w:lang w:val="bg-BG"/>
              </w:rPr>
              <w:t>9</w:t>
            </w:r>
          </w:p>
        </w:tc>
      </w:tr>
      <w:tr>
        <w:trPr>
          <w:trHeight w:val="343" w:hRule="atLeast"/>
        </w:trPr>
        <w:tc>
          <w:tcPr>
            <w:tcW w:w="425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jc w:val="both"/>
              <w:rPr>
                <w:b/>
                <w:sz w:val="18"/>
                <w:szCs w:val="18"/>
                <w:lang w:val="bg-BG"/>
              </w:rPr>
            </w:pPr>
            <w:r>
              <w:rPr>
                <w:b/>
                <w:sz w:val="18"/>
                <w:szCs w:val="18"/>
                <w:lang w:val="bg-BG"/>
              </w:rPr>
              <w:t>Незначими аспекти (К=1-30)</w:t>
            </w:r>
          </w:p>
        </w:tc>
        <w:tc>
          <w:tcPr>
            <w:tcW w:w="10800"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18"/>
                <w:szCs w:val="18"/>
                <w:lang w:val="bg-BG"/>
              </w:rPr>
            </w:pPr>
            <w:r>
              <w:rPr>
                <w:b/>
                <w:sz w:val="18"/>
                <w:szCs w:val="18"/>
                <w:lang w:val="bg-BG"/>
              </w:rPr>
            </w:r>
          </w:p>
        </w:tc>
      </w:tr>
      <w:tr>
        <w:trPr/>
        <w:tc>
          <w:tcPr>
            <w:tcW w:w="9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4"/>
                <w:szCs w:val="18"/>
                <w:lang w:val="bg-BG"/>
              </w:rPr>
            </w:pPr>
            <w:r>
              <w:rPr>
                <w:b/>
                <w:sz w:val="24"/>
                <w:szCs w:val="18"/>
                <w:lang w:val="bg-BG"/>
              </w:rPr>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4"/>
                <w:lang w:val="bg-BG"/>
              </w:rPr>
            </w:pPr>
            <w:r>
              <w:rPr>
                <w:b/>
                <w:sz w:val="24"/>
                <w:lang w:val="bg-BG"/>
              </w:rPr>
            </w:r>
          </w:p>
        </w:tc>
        <w:tc>
          <w:tcPr>
            <w:tcW w:w="29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rPr>
                <w:sz w:val="22"/>
                <w:szCs w:val="22"/>
                <w:lang w:val="bg-BG"/>
              </w:rPr>
            </w:pPr>
            <w:r>
              <w:rPr>
                <w:sz w:val="22"/>
                <w:szCs w:val="22"/>
                <w:lang w:val="bg-BG"/>
              </w:rPr>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sz w:val="24"/>
                <w:szCs w:val="22"/>
                <w:lang w:val="bg-BG"/>
              </w:rPr>
            </w:pPr>
            <w:r>
              <w:rPr>
                <w:sz w:val="24"/>
                <w:szCs w:val="22"/>
                <w:lang w:val="bg-BG"/>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sz w:val="24"/>
                <w:lang w:val="bg-BG"/>
              </w:rPr>
            </w:pPr>
            <w:r>
              <w:rPr>
                <w:sz w:val="24"/>
                <w:lang w:val="bg-BG"/>
              </w:rPr>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sz w:val="22"/>
                <w:szCs w:val="22"/>
                <w:lang w:val="bg-BG"/>
              </w:rPr>
            </w:pPr>
            <w:r>
              <w:rPr>
                <w:b/>
                <w:sz w:val="22"/>
                <w:szCs w:val="22"/>
                <w:lang w:val="bg-BG"/>
              </w:rPr>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sz w:val="22"/>
                <w:szCs w:val="22"/>
                <w:lang w:val="bg-BG"/>
              </w:rPr>
            </w:pPr>
            <w:r>
              <w:rPr>
                <w:b/>
                <w:sz w:val="22"/>
                <w:szCs w:val="22"/>
                <w:lang w:val="bg-BG"/>
              </w:rPr>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lang w:val="bg-BG"/>
              </w:rPr>
            </w:pPr>
            <w:r>
              <w:rPr>
                <w:b/>
                <w:lang w:val="bg-BG"/>
              </w:rPr>
            </w:r>
          </w:p>
        </w:tc>
        <w:tc>
          <w:tcPr>
            <w:tcW w:w="14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lang w:val="bg-BG"/>
              </w:rPr>
            </w:pPr>
            <w:r>
              <w:rPr>
                <w:b/>
                <w:lang w:val="bg-BG"/>
              </w:rPr>
            </w:r>
          </w:p>
        </w:tc>
      </w:tr>
      <w:tr>
        <w:trPr/>
        <w:tc>
          <w:tcPr>
            <w:tcW w:w="425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60" w:after="0"/>
              <w:rPr>
                <w:sz w:val="24"/>
                <w:lang w:val="bg-BG"/>
              </w:rPr>
            </w:pPr>
            <w:r>
              <w:rPr>
                <w:b/>
                <w:sz w:val="18"/>
                <w:szCs w:val="18"/>
                <w:lang w:val="bg-BG"/>
              </w:rPr>
              <w:t>Значими аспекти (К=31-60)</w:t>
            </w:r>
          </w:p>
        </w:tc>
        <w:tc>
          <w:tcPr>
            <w:tcW w:w="10800"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sz w:val="24"/>
                <w:lang w:val="bg-BG"/>
              </w:rPr>
            </w:pPr>
            <w:r>
              <w:rPr>
                <w:sz w:val="24"/>
                <w:lang w:val="bg-BG"/>
              </w:rPr>
            </w:r>
          </w:p>
        </w:tc>
      </w:tr>
      <w:tr>
        <w:trPr/>
        <w:tc>
          <w:tcPr>
            <w:tcW w:w="9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4"/>
                <w:lang w:val="bg-BG"/>
              </w:rPr>
            </w:pPr>
            <w:r>
              <w:rPr>
                <w:b/>
                <w:sz w:val="24"/>
                <w:lang w:val="bg-BG"/>
              </w:rPr>
            </w:r>
          </w:p>
        </w:tc>
        <w:tc>
          <w:tcPr>
            <w:tcW w:w="331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60" w:after="0"/>
              <w:jc w:val="center"/>
              <w:rPr>
                <w:b/>
                <w:sz w:val="24"/>
                <w:lang w:val="bg-BG"/>
              </w:rPr>
            </w:pPr>
            <w:r>
              <w:rPr>
                <w:b/>
                <w:sz w:val="24"/>
                <w:lang w:val="bg-BG"/>
              </w:rPr>
            </w:r>
          </w:p>
        </w:tc>
        <w:tc>
          <w:tcPr>
            <w:tcW w:w="29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rPr>
                <w:sz w:val="22"/>
                <w:szCs w:val="22"/>
                <w:lang w:val="bg-BG"/>
              </w:rPr>
            </w:pPr>
            <w:r>
              <w:rPr>
                <w:sz w:val="22"/>
                <w:szCs w:val="22"/>
                <w:lang w:val="bg-BG"/>
              </w:rPr>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sz w:val="24"/>
                <w:szCs w:val="22"/>
                <w:lang w:val="bg-BG"/>
              </w:rPr>
            </w:pPr>
            <w:r>
              <w:rPr>
                <w:sz w:val="24"/>
                <w:szCs w:val="22"/>
                <w:lang w:val="bg-BG"/>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sz w:val="24"/>
                <w:lang w:val="bg-BG"/>
              </w:rPr>
            </w:pPr>
            <w:r>
              <w:rPr>
                <w:sz w:val="24"/>
                <w:lang w:val="bg-BG"/>
              </w:rPr>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sz w:val="22"/>
                <w:szCs w:val="22"/>
                <w:lang w:val="bg-BG"/>
              </w:rPr>
            </w:pPr>
            <w:r>
              <w:rPr>
                <w:b/>
                <w:sz w:val="22"/>
                <w:szCs w:val="22"/>
                <w:lang w:val="bg-BG"/>
              </w:rPr>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sz w:val="22"/>
                <w:szCs w:val="22"/>
                <w:lang w:val="bg-BG"/>
              </w:rPr>
            </w:pPr>
            <w:r>
              <w:rPr>
                <w:b/>
                <w:sz w:val="22"/>
                <w:szCs w:val="22"/>
                <w:lang w:val="bg-BG"/>
              </w:rPr>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lang w:val="bg-BG"/>
              </w:rPr>
            </w:pPr>
            <w:r>
              <w:rPr>
                <w:b/>
                <w:lang w:val="bg-BG"/>
              </w:rPr>
            </w:r>
          </w:p>
        </w:tc>
        <w:tc>
          <w:tcPr>
            <w:tcW w:w="14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before="100" w:after="100"/>
              <w:jc w:val="center"/>
              <w:rPr>
                <w:b/>
                <w:lang w:val="bg-BG"/>
              </w:rPr>
            </w:pPr>
            <w:r>
              <w:rPr>
                <w:b/>
                <w:lang w:val="bg-BG"/>
              </w:rPr>
            </w:r>
          </w:p>
        </w:tc>
      </w:tr>
    </w:tbl>
    <w:p>
      <w:pPr>
        <w:pStyle w:val="Normal"/>
        <w:widowControl w:val="false"/>
        <w:spacing w:before="60" w:after="0"/>
        <w:jc w:val="both"/>
        <w:rPr>
          <w:sz w:val="24"/>
          <w:lang w:val="bg-BG"/>
        </w:rPr>
      </w:pPr>
      <w:r>
        <w:rPr>
          <w:sz w:val="24"/>
          <w:lang w:val="bg-BG"/>
        </w:rPr>
      </w:r>
    </w:p>
    <w:p>
      <w:pPr>
        <w:pStyle w:val="Normal"/>
        <w:rPr>
          <w:sz w:val="28"/>
          <w:szCs w:val="28"/>
          <w:lang w:val="bg-BG"/>
        </w:rPr>
      </w:pPr>
      <w:r>
        <w:rPr>
          <w:sz w:val="28"/>
          <w:szCs w:val="28"/>
          <w:lang w:val="bg-BG"/>
        </w:rPr>
      </w:r>
    </w:p>
    <w:sectPr>
      <w:headerReference w:type="default" r:id="rId6"/>
      <w:headerReference w:type="first" r:id="rId7"/>
      <w:footerReference w:type="default" r:id="rId8"/>
      <w:footerReference w:type="first" r:id="rId9"/>
      <w:type w:val="nextPage"/>
      <w:pgSz w:orient="landscape" w:w="16838" w:h="11906"/>
      <w:pgMar w:left="1440" w:right="994" w:gutter="0" w:header="562" w:top="720" w:footer="706" w:bottom="115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cc" w:characterSet="windows-1251"/>
    <w:family w:val="swiss"/>
    <w:pitch w:val="variable"/>
  </w:font>
  <w:font w:name="Timok">
    <w:altName w:val="Times New Roman"/>
    <w:charset w:val="00" w:characterSet="windows-1252"/>
    <w:family w:val="auto"/>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3" w:type="dxa"/>
      <w:jc w:val="start"/>
      <w:tblInd w:w="108" w:type="dxa"/>
      <w:tblLayout w:type="fixed"/>
      <w:tblCellMar>
        <w:top w:w="0" w:type="dxa"/>
        <w:start w:w="108" w:type="dxa"/>
        <w:bottom w:w="0" w:type="dxa"/>
        <w:end w:w="108" w:type="dxa"/>
      </w:tblCellMar>
    </w:tblPr>
    <w:tblGrid>
      <w:gridCol w:w="1350"/>
      <w:gridCol w:w="1627"/>
      <w:gridCol w:w="2693"/>
      <w:gridCol w:w="1440"/>
      <w:gridCol w:w="2813"/>
    </w:tblGrid>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627"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Изготвено от</w:t>
          </w:r>
        </w:p>
      </w:tc>
      <w:tc>
        <w:tcPr>
          <w:tcW w:w="2693" w:type="dxa"/>
          <w:tcBorders>
            <w:top w:val="single" w:sz="4" w:space="0" w:color="000000"/>
            <w:start w:val="single" w:sz="4" w:space="0" w:color="000000"/>
            <w:bottom w:val="single" w:sz="4" w:space="0" w:color="000000"/>
            <w:end w:val="single" w:sz="4" w:space="0" w:color="000000"/>
          </w:tcBorders>
        </w:tcPr>
        <w:p>
          <w:pPr>
            <w:pStyle w:val="Footer"/>
            <w:ind w:start="-108" w:end="-108"/>
            <w:jc w:val="center"/>
            <w:rPr>
              <w:b/>
            </w:rPr>
          </w:pPr>
          <w:r>
            <w:rPr>
              <w:b/>
            </w:rPr>
            <w:t>Прегледано и одобрено от</w:t>
          </w:r>
        </w:p>
      </w:tc>
      <w:tc>
        <w:tcPr>
          <w:tcW w:w="1440"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Издадено от</w:t>
          </w:r>
        </w:p>
      </w:tc>
      <w:tc>
        <w:tcPr>
          <w:tcW w:w="2813" w:type="dxa"/>
          <w:tcBorders>
            <w:top w:val="single" w:sz="4" w:space="0" w:color="000000"/>
            <w:start w:val="single" w:sz="4" w:space="0" w:color="000000"/>
            <w:bottom w:val="single" w:sz="4" w:space="0" w:color="000000"/>
            <w:end w:val="single" w:sz="4" w:space="0" w:color="000000"/>
          </w:tcBorders>
        </w:tcPr>
        <w:p>
          <w:pPr>
            <w:pStyle w:val="Footer"/>
            <w:rPr>
              <w:b/>
            </w:rPr>
          </w:pPr>
          <w:r>
            <w:rPr>
              <w:b/>
            </w:rPr>
            <w:t>Контролиран документ</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b/>
            </w:rPr>
          </w:pPr>
          <w:r>
            <w:rPr>
              <w:b/>
            </w:rPr>
          </w:r>
        </w:p>
        <w:p>
          <w:pPr>
            <w:pStyle w:val="Footer"/>
            <w:rPr/>
          </w:pPr>
          <w:r>
            <w:rPr/>
            <w:t>Подпис</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Версия:</w:t>
          </w:r>
          <w:r>
            <w:rPr/>
            <w:t xml:space="preserve"> 001</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Дата</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Дата на утвърждаване:</w:t>
          </w:r>
          <w:r>
            <w:rPr/>
            <w:t xml:space="preserve"> </w:t>
          </w:r>
        </w:p>
        <w:p>
          <w:pPr>
            <w:pStyle w:val="Footer"/>
            <w:rPr/>
          </w:pPr>
          <w:r>
            <w:rPr>
              <w:lang w:val="bg-BG"/>
            </w:rPr>
            <w:t>06.02.2023</w:t>
          </w:r>
          <w:r>
            <w:rPr/>
            <w:t>г.</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Длъжност</w:t>
          </w:r>
        </w:p>
      </w:tc>
      <w:tc>
        <w:tcPr>
          <w:tcW w:w="1627"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693" w:type="dxa"/>
          <w:tcBorders>
            <w:top w:val="single" w:sz="4" w:space="0" w:color="000000"/>
            <w:start w:val="single" w:sz="4" w:space="0" w:color="000000"/>
            <w:bottom w:val="single" w:sz="4" w:space="0" w:color="000000"/>
            <w:end w:val="single" w:sz="4" w:space="0" w:color="000000"/>
          </w:tcBorders>
        </w:tcPr>
        <w:p>
          <w:pPr>
            <w:pStyle w:val="Header"/>
            <w:jc w:val="center"/>
            <w:rPr/>
          </w:pPr>
          <w:r>
            <w:rPr/>
            <w:t>Управител</w:t>
          </w:r>
        </w:p>
      </w:tc>
      <w:tc>
        <w:tcPr>
          <w:tcW w:w="1440"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813" w:type="dxa"/>
          <w:tcBorders>
            <w:top w:val="single" w:sz="4" w:space="0" w:color="000000"/>
            <w:start w:val="single" w:sz="4" w:space="0" w:color="000000"/>
            <w:bottom w:val="single" w:sz="4" w:space="0" w:color="000000"/>
            <w:end w:val="single" w:sz="4" w:space="0" w:color="000000"/>
          </w:tcBorders>
        </w:tcPr>
        <w:p>
          <w:pPr>
            <w:pStyle w:val="Footer"/>
            <w:rPr>
              <w:lang w:val="bg-BG"/>
            </w:rPr>
          </w:pPr>
          <w:r>
            <w:rPr/>
            <w:t xml:space="preserve">Стр. </w:t>
          </w:r>
          <w:r>
            <w:rPr/>
            <w:fldChar w:fldCharType="begin"/>
          </w:r>
          <w:r>
            <w:rPr/>
            <w:instrText xml:space="preserve"> PAGE </w:instrText>
          </w:r>
          <w:r>
            <w:rPr/>
            <w:fldChar w:fldCharType="separate"/>
          </w:r>
          <w:r>
            <w:rPr/>
            <w:t>7</w:t>
          </w:r>
          <w:r>
            <w:rPr/>
            <w:fldChar w:fldCharType="end"/>
          </w:r>
          <w:r>
            <w:rPr/>
            <w:t xml:space="preserve"> от </w:t>
          </w:r>
          <w:r>
            <w:rPr>
              <w:lang w:val="bg-BG"/>
            </w:rPr>
            <w:t>11</w:t>
          </w:r>
        </w:p>
      </w:tc>
    </w:tr>
  </w:tbl>
  <w:p>
    <w:pPr>
      <w:pStyle w:val="Footer"/>
      <w:rPr>
        <w:sz w:val="8"/>
        <w:szCs w:val="8"/>
        <w:lang w:val="bg-BG"/>
      </w:rPr>
    </w:pPr>
    <w:r>
      <w:rPr>
        <w:sz w:val="8"/>
        <w:szCs w:val="8"/>
        <w:lang w:val="bg-BG"/>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3" w:type="dxa"/>
      <w:jc w:val="start"/>
      <w:tblInd w:w="108" w:type="dxa"/>
      <w:tblLayout w:type="fixed"/>
      <w:tblCellMar>
        <w:top w:w="0" w:type="dxa"/>
        <w:start w:w="108" w:type="dxa"/>
        <w:bottom w:w="0" w:type="dxa"/>
        <w:end w:w="108" w:type="dxa"/>
      </w:tblCellMar>
    </w:tblPr>
    <w:tblGrid>
      <w:gridCol w:w="1350"/>
      <w:gridCol w:w="1627"/>
      <w:gridCol w:w="2693"/>
      <w:gridCol w:w="1440"/>
      <w:gridCol w:w="2813"/>
    </w:tblGrid>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627"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Изготвено от</w:t>
          </w:r>
        </w:p>
      </w:tc>
      <w:tc>
        <w:tcPr>
          <w:tcW w:w="2693" w:type="dxa"/>
          <w:tcBorders>
            <w:top w:val="single" w:sz="4" w:space="0" w:color="000000"/>
            <w:start w:val="single" w:sz="4" w:space="0" w:color="000000"/>
            <w:bottom w:val="single" w:sz="4" w:space="0" w:color="000000"/>
            <w:end w:val="single" w:sz="4" w:space="0" w:color="000000"/>
          </w:tcBorders>
        </w:tcPr>
        <w:p>
          <w:pPr>
            <w:pStyle w:val="Footer"/>
            <w:ind w:start="-108" w:end="-108"/>
            <w:jc w:val="center"/>
            <w:rPr>
              <w:b/>
            </w:rPr>
          </w:pPr>
          <w:r>
            <w:rPr>
              <w:b/>
            </w:rPr>
            <w:t>Прегледано и одобрено от</w:t>
          </w:r>
        </w:p>
      </w:tc>
      <w:tc>
        <w:tcPr>
          <w:tcW w:w="1440"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Издадено от</w:t>
          </w:r>
        </w:p>
      </w:tc>
      <w:tc>
        <w:tcPr>
          <w:tcW w:w="2813" w:type="dxa"/>
          <w:tcBorders>
            <w:top w:val="single" w:sz="4" w:space="0" w:color="000000"/>
            <w:start w:val="single" w:sz="4" w:space="0" w:color="000000"/>
            <w:bottom w:val="single" w:sz="4" w:space="0" w:color="000000"/>
            <w:end w:val="single" w:sz="4" w:space="0" w:color="000000"/>
          </w:tcBorders>
        </w:tcPr>
        <w:p>
          <w:pPr>
            <w:pStyle w:val="Footer"/>
            <w:rPr>
              <w:b/>
            </w:rPr>
          </w:pPr>
          <w:r>
            <w:rPr>
              <w:b/>
            </w:rPr>
            <w:t>Контролиран документ</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b/>
            </w:rPr>
          </w:pPr>
          <w:r>
            <w:rPr>
              <w:b/>
            </w:rPr>
          </w:r>
        </w:p>
        <w:p>
          <w:pPr>
            <w:pStyle w:val="Footer"/>
            <w:rPr/>
          </w:pPr>
          <w:r>
            <w:rPr/>
            <w:t>Подпис</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lang w:val="bg-BG"/>
            </w:rPr>
          </w:pPr>
          <w:r>
            <w:rPr>
              <w:b/>
              <w:i/>
            </w:rPr>
            <w:t>Версия:</w:t>
          </w:r>
          <w:r>
            <w:rPr/>
            <w:t xml:space="preserve"> 001</w:t>
          </w:r>
        </w:p>
        <w:p>
          <w:pPr>
            <w:pStyle w:val="Footer"/>
            <w:rPr>
              <w:lang w:val="en-US"/>
            </w:rPr>
          </w:pPr>
          <w:r>
            <w:rPr>
              <w:lang w:val="en-US"/>
            </w:rPr>
            <w:t>QEMR-Q-M-PR-09</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Дата</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Дата на утвърждаване:</w:t>
          </w:r>
          <w:r>
            <w:rPr/>
            <w:t xml:space="preserve"> </w:t>
          </w:r>
        </w:p>
        <w:p>
          <w:pPr>
            <w:pStyle w:val="Footer"/>
            <w:rPr/>
          </w:pPr>
          <w:r>
            <w:rPr>
              <w:lang w:val="bg-BG"/>
            </w:rPr>
            <w:t>06.02.2023</w:t>
          </w:r>
          <w:r>
            <w:rPr/>
            <w:t>г.</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Длъжност</w:t>
          </w:r>
        </w:p>
      </w:tc>
      <w:tc>
        <w:tcPr>
          <w:tcW w:w="1627"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693" w:type="dxa"/>
          <w:tcBorders>
            <w:top w:val="single" w:sz="4" w:space="0" w:color="000000"/>
            <w:start w:val="single" w:sz="4" w:space="0" w:color="000000"/>
            <w:bottom w:val="single" w:sz="4" w:space="0" w:color="000000"/>
            <w:end w:val="single" w:sz="4" w:space="0" w:color="000000"/>
          </w:tcBorders>
        </w:tcPr>
        <w:p>
          <w:pPr>
            <w:pStyle w:val="Header"/>
            <w:jc w:val="center"/>
            <w:rPr/>
          </w:pPr>
          <w:r>
            <w:rPr/>
            <w:t>Управител</w:t>
          </w:r>
        </w:p>
      </w:tc>
      <w:tc>
        <w:tcPr>
          <w:tcW w:w="1440"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813" w:type="dxa"/>
          <w:tcBorders>
            <w:top w:val="single" w:sz="4" w:space="0" w:color="000000"/>
            <w:start w:val="single" w:sz="4" w:space="0" w:color="000000"/>
            <w:bottom w:val="single" w:sz="4" w:space="0" w:color="000000"/>
            <w:end w:val="single" w:sz="4" w:space="0" w:color="000000"/>
          </w:tcBorders>
        </w:tcPr>
        <w:p>
          <w:pPr>
            <w:pStyle w:val="Footer"/>
            <w:rPr>
              <w:lang w:val="bg-BG"/>
            </w:rPr>
          </w:pPr>
          <w:r>
            <w:rPr/>
            <w:t xml:space="preserve">Стр. </w:t>
          </w:r>
          <w:r>
            <w:rPr/>
            <w:fldChar w:fldCharType="begin"/>
          </w:r>
          <w:r>
            <w:rPr/>
            <w:instrText xml:space="preserve"> PAGE </w:instrText>
          </w:r>
          <w:r>
            <w:rPr/>
            <w:fldChar w:fldCharType="separate"/>
          </w:r>
          <w:r>
            <w:rPr/>
            <w:t>1</w:t>
          </w:r>
          <w:r>
            <w:rPr/>
            <w:fldChar w:fldCharType="end"/>
          </w:r>
          <w:r>
            <w:rPr/>
            <w:t xml:space="preserve"> от </w:t>
          </w:r>
          <w:r>
            <w:rPr>
              <w:lang w:val="bg-BG"/>
            </w:rPr>
            <w:t>14</w:t>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3" w:type="dxa"/>
      <w:jc w:val="start"/>
      <w:tblInd w:w="108" w:type="dxa"/>
      <w:tblLayout w:type="fixed"/>
      <w:tblCellMar>
        <w:top w:w="0" w:type="dxa"/>
        <w:start w:w="108" w:type="dxa"/>
        <w:bottom w:w="0" w:type="dxa"/>
        <w:end w:w="108" w:type="dxa"/>
      </w:tblCellMar>
    </w:tblPr>
    <w:tblGrid>
      <w:gridCol w:w="1350"/>
      <w:gridCol w:w="1627"/>
      <w:gridCol w:w="2693"/>
      <w:gridCol w:w="1440"/>
      <w:gridCol w:w="2813"/>
    </w:tblGrid>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627"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Изготвено от</w:t>
          </w:r>
        </w:p>
      </w:tc>
      <w:tc>
        <w:tcPr>
          <w:tcW w:w="2693" w:type="dxa"/>
          <w:tcBorders>
            <w:top w:val="single" w:sz="4" w:space="0" w:color="000000"/>
            <w:start w:val="single" w:sz="4" w:space="0" w:color="000000"/>
            <w:bottom w:val="single" w:sz="4" w:space="0" w:color="000000"/>
            <w:end w:val="single" w:sz="4" w:space="0" w:color="000000"/>
          </w:tcBorders>
        </w:tcPr>
        <w:p>
          <w:pPr>
            <w:pStyle w:val="Footer"/>
            <w:ind w:start="-108" w:end="-108"/>
            <w:jc w:val="center"/>
            <w:rPr>
              <w:b/>
            </w:rPr>
          </w:pPr>
          <w:r>
            <w:rPr>
              <w:b/>
            </w:rPr>
            <w:t>Прегледано и одобрено от</w:t>
          </w:r>
        </w:p>
      </w:tc>
      <w:tc>
        <w:tcPr>
          <w:tcW w:w="1440"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Издадено от</w:t>
          </w:r>
        </w:p>
      </w:tc>
      <w:tc>
        <w:tcPr>
          <w:tcW w:w="2813" w:type="dxa"/>
          <w:tcBorders>
            <w:top w:val="single" w:sz="4" w:space="0" w:color="000000"/>
            <w:start w:val="single" w:sz="4" w:space="0" w:color="000000"/>
            <w:bottom w:val="single" w:sz="4" w:space="0" w:color="000000"/>
            <w:end w:val="single" w:sz="4" w:space="0" w:color="000000"/>
          </w:tcBorders>
        </w:tcPr>
        <w:p>
          <w:pPr>
            <w:pStyle w:val="Footer"/>
            <w:rPr>
              <w:b/>
            </w:rPr>
          </w:pPr>
          <w:r>
            <w:rPr>
              <w:b/>
            </w:rPr>
            <w:t>Контролиран документ</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b/>
            </w:rPr>
          </w:pPr>
          <w:r>
            <w:rPr>
              <w:b/>
            </w:rPr>
          </w:r>
        </w:p>
        <w:p>
          <w:pPr>
            <w:pStyle w:val="Footer"/>
            <w:rPr/>
          </w:pPr>
          <w:r>
            <w:rPr/>
            <w:t>Подпис</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Версия:</w:t>
          </w:r>
          <w:r>
            <w:rPr/>
            <w:t xml:space="preserve"> 001</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Дата</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Дата на утвърждаване:</w:t>
          </w:r>
          <w:r>
            <w:rPr/>
            <w:t xml:space="preserve"> </w:t>
          </w:r>
        </w:p>
        <w:p>
          <w:pPr>
            <w:pStyle w:val="Footer"/>
            <w:rPr/>
          </w:pPr>
          <w:r>
            <w:rPr>
              <w:lang w:val="bg-BG"/>
            </w:rPr>
            <w:t>06.02.2023</w:t>
          </w:r>
          <w:r>
            <w:rPr/>
            <w:t>г.</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Длъжност</w:t>
          </w:r>
        </w:p>
      </w:tc>
      <w:tc>
        <w:tcPr>
          <w:tcW w:w="1627"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693" w:type="dxa"/>
          <w:tcBorders>
            <w:top w:val="single" w:sz="4" w:space="0" w:color="000000"/>
            <w:start w:val="single" w:sz="4" w:space="0" w:color="000000"/>
            <w:bottom w:val="single" w:sz="4" w:space="0" w:color="000000"/>
            <w:end w:val="single" w:sz="4" w:space="0" w:color="000000"/>
          </w:tcBorders>
        </w:tcPr>
        <w:p>
          <w:pPr>
            <w:pStyle w:val="Header"/>
            <w:jc w:val="center"/>
            <w:rPr/>
          </w:pPr>
          <w:r>
            <w:rPr/>
            <w:t>Управител</w:t>
          </w:r>
        </w:p>
      </w:tc>
      <w:tc>
        <w:tcPr>
          <w:tcW w:w="1440"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t xml:space="preserve">Стр. </w:t>
          </w:r>
          <w:r>
            <w:rPr/>
            <w:fldChar w:fldCharType="begin"/>
          </w:r>
          <w:r>
            <w:rPr/>
            <w:instrText xml:space="preserve"> PAGE </w:instrText>
          </w:r>
          <w:r>
            <w:rPr/>
            <w:fldChar w:fldCharType="separate"/>
          </w:r>
          <w:r>
            <w:rPr/>
            <w:t>11</w:t>
          </w:r>
          <w:r>
            <w:rPr/>
            <w:fldChar w:fldCharType="end"/>
          </w:r>
          <w:r>
            <w:rPr/>
            <w:t xml:space="preserve"> от </w:t>
          </w:r>
          <w:r>
            <w:rPr>
              <w:lang w:val="bg-BG"/>
            </w:rPr>
            <w:t>11</w:t>
          </w:r>
        </w:p>
      </w:tc>
    </w:tr>
  </w:tbl>
  <w:p>
    <w:pPr>
      <w:pStyle w:val="Footer"/>
      <w:rPr>
        <w:sz w:val="8"/>
        <w:szCs w:val="8"/>
        <w:lang w:val="bg-BG"/>
      </w:rPr>
    </w:pPr>
    <w:r>
      <w:rPr>
        <w:sz w:val="8"/>
        <w:szCs w:val="8"/>
        <w:lang w:val="bg-BG"/>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3" w:type="dxa"/>
      <w:jc w:val="start"/>
      <w:tblInd w:w="108" w:type="dxa"/>
      <w:tblLayout w:type="fixed"/>
      <w:tblCellMar>
        <w:top w:w="0" w:type="dxa"/>
        <w:start w:w="108" w:type="dxa"/>
        <w:bottom w:w="0" w:type="dxa"/>
        <w:end w:w="108" w:type="dxa"/>
      </w:tblCellMar>
    </w:tblPr>
    <w:tblGrid>
      <w:gridCol w:w="1350"/>
      <w:gridCol w:w="1627"/>
      <w:gridCol w:w="2693"/>
      <w:gridCol w:w="1440"/>
      <w:gridCol w:w="2813"/>
    </w:tblGrid>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627"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Изготвено от</w:t>
          </w:r>
        </w:p>
      </w:tc>
      <w:tc>
        <w:tcPr>
          <w:tcW w:w="2693" w:type="dxa"/>
          <w:tcBorders>
            <w:top w:val="single" w:sz="4" w:space="0" w:color="000000"/>
            <w:start w:val="single" w:sz="4" w:space="0" w:color="000000"/>
            <w:bottom w:val="single" w:sz="4" w:space="0" w:color="000000"/>
            <w:end w:val="single" w:sz="4" w:space="0" w:color="000000"/>
          </w:tcBorders>
        </w:tcPr>
        <w:p>
          <w:pPr>
            <w:pStyle w:val="Footer"/>
            <w:ind w:start="-108" w:end="-108"/>
            <w:jc w:val="center"/>
            <w:rPr>
              <w:b/>
            </w:rPr>
          </w:pPr>
          <w:r>
            <w:rPr>
              <w:b/>
            </w:rPr>
            <w:t>Прегледано и одобрено от</w:t>
          </w:r>
        </w:p>
      </w:tc>
      <w:tc>
        <w:tcPr>
          <w:tcW w:w="1440" w:type="dxa"/>
          <w:tcBorders>
            <w:top w:val="single" w:sz="4" w:space="0" w:color="000000"/>
            <w:start w:val="single" w:sz="4" w:space="0" w:color="000000"/>
            <w:bottom w:val="single" w:sz="4" w:space="0" w:color="000000"/>
            <w:end w:val="single" w:sz="4" w:space="0" w:color="000000"/>
          </w:tcBorders>
        </w:tcPr>
        <w:p>
          <w:pPr>
            <w:pStyle w:val="Footer"/>
            <w:jc w:val="center"/>
            <w:rPr>
              <w:b/>
            </w:rPr>
          </w:pPr>
          <w:r>
            <w:rPr>
              <w:b/>
            </w:rPr>
            <w:t>Издадено от</w:t>
          </w:r>
        </w:p>
      </w:tc>
      <w:tc>
        <w:tcPr>
          <w:tcW w:w="2813" w:type="dxa"/>
          <w:tcBorders>
            <w:top w:val="single" w:sz="4" w:space="0" w:color="000000"/>
            <w:start w:val="single" w:sz="4" w:space="0" w:color="000000"/>
            <w:bottom w:val="single" w:sz="4" w:space="0" w:color="000000"/>
            <w:end w:val="single" w:sz="4" w:space="0" w:color="000000"/>
          </w:tcBorders>
        </w:tcPr>
        <w:p>
          <w:pPr>
            <w:pStyle w:val="Footer"/>
            <w:rPr>
              <w:b/>
            </w:rPr>
          </w:pPr>
          <w:r>
            <w:rPr>
              <w:b/>
            </w:rPr>
            <w:t>Контролиран документ</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b/>
            </w:rPr>
          </w:pPr>
          <w:r>
            <w:rPr>
              <w:b/>
            </w:rPr>
          </w:r>
        </w:p>
        <w:p>
          <w:pPr>
            <w:pStyle w:val="Footer"/>
            <w:rPr/>
          </w:pPr>
          <w:r>
            <w:rPr/>
            <w:t>Подпис</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Версия:</w:t>
          </w:r>
          <w:r>
            <w:rPr/>
            <w:t xml:space="preserve"> 001</w:t>
          </w:r>
        </w:p>
        <w:p>
          <w:pPr>
            <w:pStyle w:val="Footer"/>
            <w:rPr>
              <w:lang w:val="en-US"/>
            </w:rPr>
          </w:pPr>
          <w:r>
            <w:rPr>
              <w:lang w:val="en-US"/>
            </w:rPr>
            <w:t>QEMR-Q-M-PR-09</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Дата</w:t>
          </w:r>
        </w:p>
      </w:tc>
      <w:tc>
        <w:tcPr>
          <w:tcW w:w="1627"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pPr>
          <w:r>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rPr>
            <w:t>Дата на утвърждаване:</w:t>
          </w:r>
          <w:r>
            <w:rPr/>
            <w:t xml:space="preserve"> </w:t>
          </w:r>
        </w:p>
        <w:p>
          <w:pPr>
            <w:pStyle w:val="Footer"/>
            <w:rPr/>
          </w:pPr>
          <w:r>
            <w:rPr>
              <w:lang w:val="bg-BG"/>
            </w:rPr>
            <w:t>06.02.2023</w:t>
          </w:r>
          <w:r>
            <w:rPr/>
            <w:t>г.</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pPr>
          <w:r>
            <w:rPr/>
            <w:t>Длъжност</w:t>
          </w:r>
        </w:p>
      </w:tc>
      <w:tc>
        <w:tcPr>
          <w:tcW w:w="1627"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693" w:type="dxa"/>
          <w:tcBorders>
            <w:top w:val="single" w:sz="4" w:space="0" w:color="000000"/>
            <w:start w:val="single" w:sz="4" w:space="0" w:color="000000"/>
            <w:bottom w:val="single" w:sz="4" w:space="0" w:color="000000"/>
            <w:end w:val="single" w:sz="4" w:space="0" w:color="000000"/>
          </w:tcBorders>
        </w:tcPr>
        <w:p>
          <w:pPr>
            <w:pStyle w:val="Header"/>
            <w:jc w:val="center"/>
            <w:rPr/>
          </w:pPr>
          <w:r>
            <w:rPr/>
            <w:t>Управител</w:t>
          </w:r>
        </w:p>
      </w:tc>
      <w:tc>
        <w:tcPr>
          <w:tcW w:w="1440" w:type="dxa"/>
          <w:tcBorders>
            <w:top w:val="single" w:sz="4" w:space="0" w:color="000000"/>
            <w:start w:val="single" w:sz="4" w:space="0" w:color="000000"/>
            <w:bottom w:val="single" w:sz="4" w:space="0" w:color="000000"/>
            <w:end w:val="single" w:sz="4" w:space="0" w:color="000000"/>
          </w:tcBorders>
        </w:tcPr>
        <w:p>
          <w:pPr>
            <w:pStyle w:val="Header"/>
            <w:jc w:val="center"/>
            <w:rPr>
              <w:b/>
            </w:rPr>
          </w:pPr>
          <w:r>
            <w:rPr>
              <w:b/>
            </w:rPr>
            <w:t>УПР</w:t>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t xml:space="preserve">Стр. </w:t>
          </w:r>
          <w:r>
            <w:rPr/>
            <w:fldChar w:fldCharType="begin"/>
          </w:r>
          <w:r>
            <w:rPr/>
            <w:instrText xml:space="preserve"> PAGE </w:instrText>
          </w:r>
          <w:r>
            <w:rPr/>
            <w:fldChar w:fldCharType="separate"/>
          </w:r>
          <w:r>
            <w:rPr/>
            <w:t>8</w:t>
          </w:r>
          <w:r>
            <w:rPr/>
            <w:fldChar w:fldCharType="end"/>
          </w:r>
          <w:r>
            <w:rPr/>
            <w:t xml:space="preserve"> от </w:t>
          </w:r>
          <w:r>
            <w:rPr>
              <w:lang w:val="bg-BG"/>
            </w:rPr>
            <w:t>14</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4" w:type="dxa"/>
      <w:tblLayout w:type="fixed"/>
      <w:tblCellMar>
        <w:top w:w="0" w:type="dxa"/>
        <w:start w:w="108" w:type="dxa"/>
        <w:bottom w:w="0" w:type="dxa"/>
        <w:end w:w="108" w:type="dxa"/>
      </w:tblCellMar>
    </w:tblPr>
    <w:tblGrid>
      <w:gridCol w:w="10065"/>
    </w:tblGrid>
    <w:tr>
      <w:trPr/>
      <w:tc>
        <w:tcPr>
          <w:tcW w:w="10065" w:type="dxa"/>
          <w:tcBorders>
            <w:top w:val="single" w:sz="4" w:space="0" w:color="000000"/>
            <w:start w:val="single" w:sz="4" w:space="0" w:color="000000"/>
            <w:end w:val="single" w:sz="4" w:space="0" w:color="000000"/>
          </w:tcBorders>
        </w:tcPr>
        <w:p>
          <w:pPr>
            <w:pStyle w:val="Normal"/>
            <w:tabs>
              <w:tab w:val="clear" w:pos="720"/>
              <w:tab w:val="center" w:pos="4320" w:leader="none"/>
              <w:tab w:val="right" w:pos="8640" w:leader="none"/>
            </w:tabs>
            <w:jc w:val="center"/>
            <w:rPr>
              <w:rFonts w:ascii="Arial" w:hAnsi="Arial" w:cs="Arial"/>
              <w:sz w:val="32"/>
            </w:rPr>
          </w:pPr>
          <w:r>
            <w:rPr>
              <w:rFonts w:cs="Arial" w:ascii="Arial" w:hAnsi="Arial"/>
              <w:sz w:val="32"/>
              <w:lang w:val="bg-BG"/>
            </w:rPr>
            <w:t>„</w:t>
          </w:r>
          <w:r>
            <w:rPr>
              <w:rFonts w:cs="Arial" w:ascii="Arial" w:hAnsi="Arial"/>
              <w:sz w:val="32"/>
              <w:lang w:val="bg-BG"/>
            </w:rPr>
            <w:t>Братя Панчеви“ ООД</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Arial" w:hAnsi="Arial" w:cs="Arial"/>
              <w:sz w:val="16"/>
              <w:lang w:val="en-US"/>
            </w:rPr>
          </w:pPr>
          <w:r>
            <w:rPr>
              <w:rFonts w:cs="Arial" w:ascii="Arial" w:hAnsi="Arial"/>
              <w:sz w:val="16"/>
              <w:lang w:val="en-US"/>
            </w:rPr>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jc w:val="center"/>
            <w:rPr>
              <w:sz w:val="32"/>
              <w:lang w:val="en-US"/>
            </w:rPr>
          </w:pPr>
          <w:r>
            <w:rPr>
              <w:sz w:val="32"/>
            </w:rPr>
            <w:t>ИНТЕГРИРАНА СИСТЕМА ЗА УПРАВЛЕНИЕ НА КАЧЕСТВОТО</w:t>
          </w:r>
          <w:r>
            <w:rPr>
              <w:sz w:val="32"/>
              <w:lang w:val="en-US"/>
            </w:rPr>
            <w:t xml:space="preserve"> </w:t>
          </w:r>
          <w:r>
            <w:rPr>
              <w:sz w:val="32"/>
            </w:rPr>
            <w:t xml:space="preserve">И ОКОЛНАТА СРЕДА </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rPr>
              <w:sz w:val="16"/>
              <w:lang w:val="en-US"/>
            </w:rPr>
          </w:pPr>
          <w:r>
            <w:rPr>
              <w:sz w:val="16"/>
              <w:lang w:val="en-US"/>
            </w:rPr>
          </w:r>
        </w:p>
      </w:tc>
    </w:tr>
    <w:tr>
      <w:trPr/>
      <w:tc>
        <w:tcPr>
          <w:tcW w:w="10065" w:type="dxa"/>
          <w:tcBorders>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jc w:val="center"/>
            <w:rPr>
              <w:b/>
              <w:sz w:val="28"/>
            </w:rPr>
          </w:pPr>
          <w:r>
            <w:rPr>
              <w:b/>
              <w:sz w:val="24"/>
              <w:lang w:val="bg-BG"/>
            </w:rPr>
            <w:t>ОЦЕНКА НА АСПЕКТИТЕ, ВЪЗДЕЙСТВИЯТА И СЪОТВЕТСТВИЕТО НА ДЕЙНОСТИТЕ ПО ОКОЛНА СРЕДА</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4" w:type="dxa"/>
      <w:tblLayout w:type="fixed"/>
      <w:tblCellMar>
        <w:top w:w="0" w:type="dxa"/>
        <w:start w:w="108" w:type="dxa"/>
        <w:bottom w:w="0" w:type="dxa"/>
        <w:end w:w="108" w:type="dxa"/>
      </w:tblCellMar>
    </w:tblPr>
    <w:tblGrid>
      <w:gridCol w:w="10065"/>
    </w:tblGrid>
    <w:tr>
      <w:trPr/>
      <w:tc>
        <w:tcPr>
          <w:tcW w:w="10065" w:type="dxa"/>
          <w:tcBorders>
            <w:top w:val="single" w:sz="4" w:space="0" w:color="000000"/>
            <w:start w:val="single" w:sz="4" w:space="0" w:color="000000"/>
            <w:end w:val="single" w:sz="4" w:space="0" w:color="000000"/>
          </w:tcBorders>
        </w:tcPr>
        <w:p>
          <w:pPr>
            <w:pStyle w:val="Header"/>
            <w:jc w:val="center"/>
            <w:rPr>
              <w:rFonts w:ascii="Arial" w:hAnsi="Arial" w:cs="Arial"/>
              <w:sz w:val="32"/>
              <w:lang w:val="bg-BG"/>
            </w:rPr>
          </w:pPr>
          <w:r>
            <w:rPr>
              <w:rFonts w:cs="Arial" w:ascii="Arial" w:hAnsi="Arial"/>
              <w:sz w:val="32"/>
              <w:lang w:val="bg-BG"/>
            </w:rPr>
            <w:t>„</w:t>
          </w:r>
          <w:r>
            <w:rPr>
              <w:rFonts w:cs="Arial" w:ascii="Arial" w:hAnsi="Arial"/>
              <w:sz w:val="32"/>
              <w:lang w:val="bg-BG"/>
            </w:rPr>
            <w:t>Братя Панчеви“ ООД</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Arial" w:hAnsi="Arial" w:cs="Arial"/>
              <w:sz w:val="16"/>
              <w:lang w:val="en-US"/>
            </w:rPr>
          </w:pPr>
          <w:r>
            <w:rPr>
              <w:rFonts w:cs="Arial" w:ascii="Arial" w:hAnsi="Arial"/>
              <w:sz w:val="16"/>
              <w:lang w:val="en-US"/>
            </w:rPr>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jc w:val="center"/>
            <w:rPr>
              <w:sz w:val="32"/>
              <w:lang w:val="en-US"/>
            </w:rPr>
          </w:pPr>
          <w:r>
            <w:rPr>
              <w:sz w:val="32"/>
            </w:rPr>
            <w:t>ИНТЕГРИРАНА СИСТЕМА ЗА УПРАВЛЕНИЕ НА КАЧЕСТВОТО</w:t>
          </w:r>
          <w:r>
            <w:rPr>
              <w:sz w:val="32"/>
              <w:lang w:val="en-US"/>
            </w:rPr>
            <w:t xml:space="preserve"> </w:t>
          </w:r>
          <w:r>
            <w:rPr>
              <w:sz w:val="32"/>
            </w:rPr>
            <w:t xml:space="preserve">И ОКОЛНАТА СРЕДА </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rPr>
              <w:sz w:val="16"/>
              <w:lang w:val="en-US"/>
            </w:rPr>
          </w:pPr>
          <w:r>
            <w:rPr>
              <w:sz w:val="16"/>
              <w:lang w:val="en-US"/>
            </w:rPr>
          </w:r>
        </w:p>
      </w:tc>
    </w:tr>
    <w:tr>
      <w:trPr/>
      <w:tc>
        <w:tcPr>
          <w:tcW w:w="10065" w:type="dxa"/>
          <w:tcBorders>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jc w:val="center"/>
            <w:rPr>
              <w:b/>
              <w:sz w:val="28"/>
              <w:lang w:val="bg-BG"/>
            </w:rPr>
          </w:pPr>
          <w:r>
            <w:rPr>
              <w:b/>
              <w:sz w:val="24"/>
              <w:lang w:val="bg-BG"/>
            </w:rPr>
            <w:t>ОЦЕНКА НА АСПЕКТИТЕ, ВЪЗДЕЙСТВИЯТА И СЪОТВЕТСТВИЕТО НА ДЕЙНОСТИТЕ ПО ОКОЛНА СРЕДА</w:t>
          </w:r>
        </w:p>
      </w:tc>
    </w:tr>
  </w:tbl>
  <w:p>
    <w:pPr>
      <w:pStyle w:val="Header"/>
      <w:rPr>
        <w:lang w:val="bg-BG"/>
      </w:rPr>
    </w:pPr>
    <w:r>
      <w:rPr>
        <w:lang w:val="bg-BG"/>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4" w:type="dxa"/>
      <w:tblLayout w:type="fixed"/>
      <w:tblCellMar>
        <w:top w:w="0" w:type="dxa"/>
        <w:start w:w="108" w:type="dxa"/>
        <w:bottom w:w="0" w:type="dxa"/>
        <w:end w:w="108" w:type="dxa"/>
      </w:tblCellMar>
    </w:tblPr>
    <w:tblGrid>
      <w:gridCol w:w="10065"/>
    </w:tblGrid>
    <w:tr>
      <w:trPr/>
      <w:tc>
        <w:tcPr>
          <w:tcW w:w="10065" w:type="dxa"/>
          <w:tcBorders>
            <w:top w:val="single" w:sz="4" w:space="0" w:color="000000"/>
            <w:start w:val="single" w:sz="4" w:space="0" w:color="000000"/>
            <w:end w:val="single" w:sz="4" w:space="0" w:color="000000"/>
          </w:tcBorders>
        </w:tcPr>
        <w:p>
          <w:pPr>
            <w:pStyle w:val="Normal"/>
            <w:tabs>
              <w:tab w:val="clear" w:pos="720"/>
              <w:tab w:val="center" w:pos="4320" w:leader="none"/>
              <w:tab w:val="right" w:pos="8640" w:leader="none"/>
            </w:tabs>
            <w:jc w:val="center"/>
            <w:rPr>
              <w:rFonts w:ascii="Arial" w:hAnsi="Arial" w:cs="Arial"/>
              <w:sz w:val="32"/>
              <w:lang w:val="bg-BG"/>
            </w:rPr>
          </w:pPr>
          <w:r>
            <w:rPr>
              <w:rFonts w:cs="Arial" w:ascii="Arial" w:hAnsi="Arial"/>
              <w:sz w:val="32"/>
              <w:lang w:val="bg-BG"/>
            </w:rPr>
            <w:t>„</w:t>
          </w:r>
          <w:r>
            <w:rPr>
              <w:rFonts w:cs="Arial" w:ascii="Arial" w:hAnsi="Arial"/>
              <w:sz w:val="32"/>
              <w:lang w:val="bg-BG"/>
            </w:rPr>
            <w:t>Братя Панчеви“ ООД</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Arial" w:hAnsi="Arial" w:cs="Arial"/>
              <w:sz w:val="16"/>
              <w:lang w:val="en-US"/>
            </w:rPr>
          </w:pPr>
          <w:r>
            <w:rPr>
              <w:rFonts w:cs="Arial" w:ascii="Arial" w:hAnsi="Arial"/>
              <w:sz w:val="16"/>
              <w:lang w:val="en-US"/>
            </w:rPr>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jc w:val="center"/>
            <w:rPr/>
          </w:pPr>
          <w:r>
            <w:rPr>
              <w:sz w:val="32"/>
            </w:rPr>
            <w:t>ИНТЕГРИРАНА СИСТЕМА ЗА УПРАВЛЕНИЕ НА КАЧЕСТВОТО</w:t>
          </w:r>
          <w:r>
            <w:rPr>
              <w:sz w:val="32"/>
              <w:lang w:val="en-US"/>
            </w:rPr>
            <w:t xml:space="preserve"> </w:t>
          </w:r>
          <w:r>
            <w:rPr>
              <w:sz w:val="32"/>
            </w:rPr>
            <w:t xml:space="preserve">И ОКОЛНАТА СРЕДА </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rPr>
              <w:sz w:val="16"/>
              <w:lang w:val="en-US"/>
            </w:rPr>
          </w:pPr>
          <w:r>
            <w:rPr>
              <w:sz w:val="16"/>
              <w:lang w:val="en-US"/>
            </w:rPr>
          </w:r>
        </w:p>
      </w:tc>
    </w:tr>
    <w:tr>
      <w:trPr/>
      <w:tc>
        <w:tcPr>
          <w:tcW w:w="10065" w:type="dxa"/>
          <w:tcBorders>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jc w:val="center"/>
            <w:rPr>
              <w:b/>
              <w:sz w:val="24"/>
              <w:lang w:val="bg-BG"/>
            </w:rPr>
          </w:pPr>
          <w:r>
            <w:rPr>
              <w:b/>
              <w:sz w:val="24"/>
              <w:lang w:val="bg-BG"/>
            </w:rPr>
            <w:t>ОЦЕНКА НА АСПЕКТИТЕ, ВЪЗДЕЙСТВИЯТА И СЪОТВЕТСТВИЕТО НА ДЕЙНОСТИТЕ ПО ОКОЛНА СРЕДА</w:t>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4" w:type="dxa"/>
      <w:tblLayout w:type="fixed"/>
      <w:tblCellMar>
        <w:top w:w="0" w:type="dxa"/>
        <w:start w:w="108" w:type="dxa"/>
        <w:bottom w:w="0" w:type="dxa"/>
        <w:end w:w="108" w:type="dxa"/>
      </w:tblCellMar>
    </w:tblPr>
    <w:tblGrid>
      <w:gridCol w:w="10065"/>
    </w:tblGrid>
    <w:tr>
      <w:trPr/>
      <w:tc>
        <w:tcPr>
          <w:tcW w:w="10065" w:type="dxa"/>
          <w:tcBorders>
            <w:top w:val="single" w:sz="4" w:space="0" w:color="000000"/>
            <w:start w:val="single" w:sz="4" w:space="0" w:color="000000"/>
            <w:end w:val="single" w:sz="4" w:space="0" w:color="000000"/>
          </w:tcBorders>
        </w:tcPr>
        <w:p>
          <w:pPr>
            <w:pStyle w:val="Header"/>
            <w:jc w:val="center"/>
            <w:rPr/>
          </w:pPr>
          <w:r>
            <w:rPr>
              <w:rFonts w:cs="Arial" w:ascii="Arial" w:hAnsi="Arial"/>
              <w:sz w:val="32"/>
              <w:lang w:val="bg-BG"/>
            </w:rPr>
            <w:t>„</w:t>
          </w:r>
          <w:r>
            <w:rPr>
              <w:rFonts w:cs="Arial" w:ascii="Arial" w:hAnsi="Arial"/>
              <w:sz w:val="32"/>
              <w:lang w:val="bg-BG"/>
            </w:rPr>
            <w:t>Братя Панчеви“ ООД</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Arial" w:hAnsi="Arial" w:cs="Arial"/>
              <w:sz w:val="16"/>
              <w:lang w:val="en-US"/>
            </w:rPr>
          </w:pPr>
          <w:r>
            <w:rPr>
              <w:rFonts w:cs="Arial" w:ascii="Arial" w:hAnsi="Arial"/>
              <w:sz w:val="16"/>
              <w:lang w:val="en-US"/>
            </w:rPr>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jc w:val="center"/>
            <w:rPr/>
          </w:pPr>
          <w:r>
            <w:rPr>
              <w:sz w:val="32"/>
            </w:rPr>
            <w:t>ИНТЕГРИРАНА СИСТЕМА ЗА УПРАВЛЕНИЕ НА КАЧЕСТВОТО</w:t>
          </w:r>
          <w:r>
            <w:rPr>
              <w:sz w:val="32"/>
              <w:lang w:val="en-US"/>
            </w:rPr>
            <w:t xml:space="preserve"> </w:t>
          </w:r>
          <w:r>
            <w:rPr>
              <w:sz w:val="32"/>
            </w:rPr>
            <w:t xml:space="preserve">И ОКОЛНАТА СРЕДА </w:t>
          </w:r>
        </w:p>
      </w:tc>
    </w:tr>
    <w:tr>
      <w:trPr/>
      <w:tc>
        <w:tcPr>
          <w:tcW w:w="10065" w:type="dxa"/>
          <w:tcBorders>
            <w:start w:val="single" w:sz="4" w:space="0" w:color="000000"/>
            <w:end w:val="single" w:sz="4" w:space="0" w:color="000000"/>
          </w:tcBorders>
        </w:tcPr>
        <w:p>
          <w:pPr>
            <w:pStyle w:val="Normal"/>
            <w:tabs>
              <w:tab w:val="clear" w:pos="720"/>
              <w:tab w:val="center" w:pos="4320" w:leader="none"/>
              <w:tab w:val="right" w:pos="8640" w:leader="none"/>
            </w:tabs>
            <w:snapToGrid w:val="false"/>
            <w:rPr>
              <w:sz w:val="16"/>
              <w:lang w:val="en-US"/>
            </w:rPr>
          </w:pPr>
          <w:r>
            <w:rPr>
              <w:sz w:val="16"/>
              <w:lang w:val="en-US"/>
            </w:rPr>
          </w:r>
        </w:p>
      </w:tc>
    </w:tr>
    <w:tr>
      <w:trPr/>
      <w:tc>
        <w:tcPr>
          <w:tcW w:w="10065" w:type="dxa"/>
          <w:tcBorders>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jc w:val="center"/>
            <w:rPr>
              <w:b/>
              <w:sz w:val="24"/>
              <w:lang w:val="bg-BG"/>
            </w:rPr>
          </w:pPr>
          <w:r>
            <w:rPr>
              <w:b/>
              <w:sz w:val="24"/>
              <w:lang w:val="bg-BG"/>
            </w:rPr>
            <w:t>ОЦЕНКА НА АСПЕКТИТЕ, ВЪЗДЕЙСТВИЯТА И СЪОТВЕТСТВИЕТО НА ДЕЙНОСТИТЕ ПО ОКОЛНА СРЕДА</w:t>
          </w:r>
        </w:p>
      </w:tc>
    </w:tr>
  </w:tbl>
  <w:p>
    <w:pPr>
      <w:pStyle w:val="Header"/>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1368"/>
        </w:tabs>
        <w:ind w:start="0" w:firstLine="1008"/>
      </w:pPr>
      <w:rPr>
        <w:rFonts w:ascii="Wingdings" w:hAnsi="Wingdings" w:cs="Wingdings" w:hint="default"/>
        <w:caps w:val="false"/>
        <w:smallCaps w:val="false"/>
        <w:strike w:val="false"/>
        <w:dstrike w:val="false"/>
        <w:outline w:val="false"/>
        <w:shadow w:val="false"/>
        <w:vanish w:val="false"/>
        <w:color w:val="000000"/>
        <w:position w:val="0"/>
        <w:sz w:val="20"/>
        <w:szCs w:val="20"/>
        <w:vertAlign w:val="baseline"/>
      </w:rPr>
    </w:lvl>
  </w:abstractNum>
  <w:abstractNum w:abstractNumId="3">
    <w:lvl w:ilvl="0">
      <w:start w:val="1"/>
      <w:numFmt w:val="bullet"/>
      <w:lvlText w:val=""/>
      <w:lvlJc w:val="start"/>
      <w:pPr>
        <w:tabs>
          <w:tab w:val="num" w:pos="720"/>
        </w:tabs>
        <w:ind w:start="1440" w:firstLine="1008"/>
      </w:pPr>
      <w:rPr>
        <w:rFonts w:ascii="Wingdings" w:hAnsi="Wingdings" w:cs="Wingdings" w:hint="default"/>
        <w:caps w:val="false"/>
        <w:smallCaps w:val="false"/>
        <w:strike w:val="false"/>
        <w:dstrike w:val="false"/>
        <w:outline w:val="false"/>
        <w:shadow w:val="false"/>
        <w:vanish w:val="false"/>
        <w:color w:val="000000"/>
        <w:position w:val="0"/>
        <w:sz w:val="20"/>
        <w:szCs w:val="20"/>
        <w:vertAlign w:val="baseline"/>
      </w:rPr>
    </w:lvl>
  </w:abstractNum>
  <w:abstractNum w:abstractNumId="4">
    <w:lvl w:ilvl="0">
      <w:start w:val="1"/>
      <w:numFmt w:val="bullet"/>
      <w:lvlText w:val=""/>
      <w:lvlJc w:val="center"/>
      <w:pPr>
        <w:tabs>
          <w:tab w:val="num" w:pos="1080"/>
        </w:tabs>
        <w:ind w:start="357" w:firstLine="363"/>
      </w:pPr>
      <w:rPr>
        <w:rFonts w:ascii="Symbol" w:hAnsi="Symbol" w:cs="Symbol" w:hint="default"/>
        <w:sz w:val="20"/>
      </w:rPr>
    </w:lvl>
  </w:abstractNum>
  <w:abstractNum w:abstractNumId="5">
    <w:lvl w:ilvl="0">
      <w:numFmt w:val="decimal"/>
      <w:lvlText w:val="}%1"/>
      <w:lvlJc w:val="start"/>
      <w:pPr>
        <w:tabs>
          <w:tab w:val="num" w:pos="288"/>
        </w:tabs>
        <w:ind w:start="288" w:hanging="288"/>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sv-SE" w:bidi="ar-SA" w:eastAsia="zh-CN"/>
    </w:rPr>
  </w:style>
  <w:style w:type="paragraph" w:styleId="Heading1">
    <w:name w:val="heading 1"/>
    <w:basedOn w:val="Normal"/>
    <w:next w:val="Normal"/>
    <w:qFormat/>
    <w:pPr>
      <w:keepNext w:val="true"/>
      <w:numPr>
        <w:ilvl w:val="0"/>
        <w:numId w:val="1"/>
      </w:numPr>
      <w:jc w:val="center"/>
      <w:outlineLvl w:val="0"/>
    </w:pPr>
    <w:rPr>
      <w:b/>
      <w:sz w:val="24"/>
    </w:rPr>
  </w:style>
  <w:style w:type="paragraph" w:styleId="Heading2">
    <w:name w:val="heading 2"/>
    <w:basedOn w:val="Normal"/>
    <w:next w:val="Normal"/>
    <w:qFormat/>
    <w:pPr>
      <w:keepNext w:val="true"/>
      <w:numPr>
        <w:ilvl w:val="1"/>
        <w:numId w:val="1"/>
      </w:numPr>
      <w:jc w:val="center"/>
      <w:outlineLvl w:val="1"/>
    </w:pPr>
    <w:rPr>
      <w:b/>
      <w:sz w:val="28"/>
    </w:rPr>
  </w:style>
  <w:style w:type="paragraph" w:styleId="Heading3">
    <w:name w:val="heading 3"/>
    <w:basedOn w:val="Normal"/>
    <w:next w:val="Normal"/>
    <w:qFormat/>
    <w:pPr>
      <w:keepNext w:val="true"/>
      <w:numPr>
        <w:ilvl w:val="2"/>
        <w:numId w:val="1"/>
      </w:numPr>
      <w:spacing w:before="120" w:after="0"/>
      <w:outlineLvl w:val="2"/>
    </w:pPr>
    <w:rPr>
      <w:b/>
      <w:sz w:val="22"/>
      <w:szCs w:val="22"/>
      <w:lang w:val="bg-BG"/>
    </w:rPr>
  </w:style>
  <w:style w:type="paragraph" w:styleId="Heading4">
    <w:name w:val="heading 4"/>
    <w:basedOn w:val="Normal"/>
    <w:next w:val="Normal"/>
    <w:qFormat/>
    <w:pPr>
      <w:keepNext w:val="true"/>
      <w:numPr>
        <w:ilvl w:val="3"/>
        <w:numId w:val="1"/>
      </w:numPr>
      <w:outlineLvl w:val="3"/>
    </w:pPr>
    <w:rPr>
      <w:i/>
      <w:lang w:val="bg-BG"/>
    </w:rPr>
  </w:style>
  <w:style w:type="paragraph" w:styleId="Heading5">
    <w:name w:val="heading 5"/>
    <w:basedOn w:val="Normal"/>
    <w:next w:val="Normal"/>
    <w:qFormat/>
    <w:pPr>
      <w:keepNext w:val="true"/>
      <w:numPr>
        <w:ilvl w:val="4"/>
        <w:numId w:val="1"/>
      </w:numPr>
      <w:spacing w:before="120" w:after="120"/>
      <w:outlineLvl w:val="4"/>
    </w:pPr>
    <w:rPr>
      <w:sz w:val="26"/>
    </w:rPr>
  </w:style>
  <w:style w:type="paragraph" w:styleId="Heading6">
    <w:name w:val="heading 6"/>
    <w:basedOn w:val="Normal"/>
    <w:next w:val="Normal"/>
    <w:qFormat/>
    <w:pPr>
      <w:numPr>
        <w:ilvl w:val="5"/>
        <w:numId w:val="1"/>
      </w:numPr>
      <w:spacing w:before="240" w:after="60"/>
      <w:jc w:val="both"/>
      <w:outlineLvl w:val="5"/>
    </w:pPr>
    <w:rPr>
      <w:i/>
      <w:sz w:val="22"/>
      <w:lang w:val="bg-BG"/>
    </w:rPr>
  </w:style>
  <w:style w:type="paragraph" w:styleId="Heading7">
    <w:name w:val="heading 7"/>
    <w:basedOn w:val="Normal"/>
    <w:next w:val="Normal"/>
    <w:qFormat/>
    <w:pPr>
      <w:numPr>
        <w:ilvl w:val="6"/>
        <w:numId w:val="1"/>
      </w:numPr>
      <w:spacing w:before="240" w:after="60"/>
      <w:jc w:val="both"/>
      <w:outlineLvl w:val="6"/>
    </w:pPr>
    <w:rPr>
      <w:rFonts w:ascii="Arial" w:hAnsi="Arial" w:cs="Arial"/>
      <w:sz w:val="24"/>
      <w:lang w:val="bg-BG"/>
    </w:rPr>
  </w:style>
  <w:style w:type="paragraph" w:styleId="Heading8">
    <w:name w:val="heading 8"/>
    <w:basedOn w:val="Normal"/>
    <w:next w:val="Normal"/>
    <w:qFormat/>
    <w:pPr>
      <w:numPr>
        <w:ilvl w:val="7"/>
        <w:numId w:val="1"/>
      </w:numPr>
      <w:spacing w:before="240" w:after="60"/>
      <w:jc w:val="both"/>
      <w:outlineLvl w:val="7"/>
    </w:pPr>
    <w:rPr>
      <w:rFonts w:ascii="Arial" w:hAnsi="Arial" w:cs="Arial"/>
      <w:i/>
      <w:sz w:val="24"/>
      <w:lang w:val="bg-BG"/>
    </w:rPr>
  </w:style>
  <w:style w:type="paragraph" w:styleId="Heading9">
    <w:name w:val="heading 9"/>
    <w:basedOn w:val="Normal"/>
    <w:next w:val="Normal"/>
    <w:qFormat/>
    <w:pPr>
      <w:numPr>
        <w:ilvl w:val="8"/>
        <w:numId w:val="1"/>
      </w:numPr>
      <w:spacing w:before="240" w:after="60"/>
      <w:jc w:val="both"/>
      <w:outlineLvl w:val="8"/>
    </w:pPr>
    <w:rPr>
      <w:rFonts w:ascii="Arial" w:hAnsi="Arial" w:cs="Arial"/>
      <w:b/>
      <w:i/>
      <w:sz w:val="18"/>
      <w:lang w:val="bg-BG"/>
    </w:rPr>
  </w:style>
  <w:style w:type="character" w:styleId="WW8Num1z0">
    <w:name w:val="WW8Num1z0"/>
    <w:qFormat/>
    <w:rPr>
      <w:rFonts w:ascii="Symbol" w:hAnsi="Symbol" w:cs="Symbol"/>
      <w:sz w:val="24"/>
      <w:szCs w:val="24"/>
    </w:rPr>
  </w:style>
  <w:style w:type="character" w:styleId="WW8Num1z1">
    <w:name w:val="WW8Num1z1"/>
    <w:qFormat/>
    <w:rPr>
      <w:b w:val="false"/>
      <w:i w:val="false"/>
      <w:sz w:val="22"/>
      <w:szCs w:val="22"/>
    </w:rPr>
  </w:style>
  <w:style w:type="character" w:styleId="WW8Num1z2">
    <w:name w:val="WW8Num1z2"/>
    <w:qFormat/>
    <w:rPr/>
  </w:style>
  <w:style w:type="character" w:styleId="WW8Num2z0">
    <w:name w:val="WW8Num2z0"/>
    <w:qFormat/>
    <w:rPr>
      <w:rFonts w:ascii="Wingdings" w:hAnsi="Wingdings" w:cs="Wingdings"/>
      <w:caps w:val="false"/>
      <w:smallCaps w:val="false"/>
      <w:strike w:val="false"/>
      <w:dstrike w:val="false"/>
      <w:outline w:val="false"/>
      <w:shadow w:val="false"/>
      <w:vanish w:val="false"/>
      <w:color w:val="000000"/>
      <w:position w:val="0"/>
      <w:sz w:val="20"/>
      <w:szCs w:val="20"/>
      <w:vertAlign w:val="baseline"/>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0">
    <w:name w:val="WW8Num4z0"/>
    <w:qFormat/>
    <w:rPr>
      <w:rFonts w:ascii="Symbol" w:hAnsi="Symbol" w:cs="Symbol"/>
      <w:sz w:val="16"/>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b w:val="false"/>
      <w:i w:val="false"/>
      <w:sz w:val="22"/>
      <w:szCs w:val="22"/>
    </w:rPr>
  </w:style>
  <w:style w:type="character" w:styleId="WW8Num6z0">
    <w:name w:val="WW8Num6z0"/>
    <w:qFormat/>
    <w:rPr>
      <w:rFonts w:ascii="Wingdings" w:hAnsi="Wingdings" w:cs="Wingdings"/>
      <w:sz w:val="16"/>
    </w:rPr>
  </w:style>
  <w:style w:type="character" w:styleId="WW8Num6z1">
    <w:name w:val="WW8Num6z1"/>
    <w:qFormat/>
    <w:rPr>
      <w:rFonts w:ascii="Wingdings" w:hAnsi="Wingdings" w:cs="Wingdings"/>
      <w:sz w:val="20"/>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6z5">
    <w:name w:val="WW8Num6z5"/>
    <w:qFormat/>
    <w:rPr>
      <w:rFonts w:ascii="Wingdings" w:hAnsi="Wingdings" w:cs="Wingdings"/>
    </w:rPr>
  </w:style>
  <w:style w:type="character" w:styleId="WW8Num7z0">
    <w:name w:val="WW8Num7z0"/>
    <w:qFormat/>
    <w:rPr>
      <w:rFonts w:ascii="Symbol" w:hAnsi="Symbol" w:cs="Symbol"/>
      <w:sz w:val="16"/>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Wingdings" w:hAnsi="Wingdings" w:cs="Wingdings"/>
      <w:caps w:val="false"/>
      <w:smallCaps w:val="false"/>
      <w:strike w:val="false"/>
      <w:dstrike w:val="false"/>
      <w:outline w:val="false"/>
      <w:shadow w:val="false"/>
      <w:vanish w:val="false"/>
      <w:color w:val="000000"/>
      <w:position w:val="0"/>
      <w:sz w:val="20"/>
      <w:szCs w:val="20"/>
      <w:vertAlign w:val="baseline"/>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Symbol" w:hAnsi="Symbol" w:cs="Symbol"/>
      <w:sz w:val="16"/>
    </w:rPr>
  </w:style>
  <w:style w:type="character" w:styleId="WW8Num10z2">
    <w:name w:val="WW8Num10z2"/>
    <w:qFormat/>
    <w:rPr>
      <w:rFonts w:ascii="Wingdings" w:hAnsi="Wingdings" w:cs="Wingdings"/>
    </w:rPr>
  </w:style>
  <w:style w:type="character" w:styleId="WW8Num10z4">
    <w:name w:val="WW8Num10z4"/>
    <w:qFormat/>
    <w:rPr>
      <w:rFonts w:ascii="Courier New" w:hAnsi="Courier New" w:cs="Courier New"/>
    </w:rPr>
  </w:style>
  <w:style w:type="character" w:styleId="WW8Num11z0">
    <w:name w:val="WW8Num11z0"/>
    <w:qFormat/>
    <w:rPr/>
  </w:style>
  <w:style w:type="character" w:styleId="WW8Num11z1">
    <w:name w:val="WW8Num11z1"/>
    <w:qFormat/>
    <w:rPr>
      <w:b/>
      <w:sz w:val="22"/>
      <w:szCs w:val="22"/>
    </w:rPr>
  </w:style>
  <w:style w:type="character" w:styleId="WW8Num12z0">
    <w:name w:val="WW8Num12z0"/>
    <w:qFormat/>
    <w:rPr>
      <w:rFonts w:ascii="Wingdings" w:hAnsi="Wingdings" w:cs="Wingdings"/>
      <w:sz w:val="2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sz w:val="24"/>
      <w:szCs w:val="24"/>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sz w:val="24"/>
      <w:szCs w:val="24"/>
    </w:rPr>
  </w:style>
  <w:style w:type="character" w:styleId="WW8Num14z1">
    <w:name w:val="WW8Num14z1"/>
    <w:qFormat/>
    <w:rPr>
      <w:b w:val="false"/>
      <w:i w:val="false"/>
      <w:sz w:val="22"/>
      <w:szCs w:val="22"/>
    </w:rPr>
  </w:style>
  <w:style w:type="character" w:styleId="WW8Num14z2">
    <w:name w:val="WW8Num14z2"/>
    <w:qFormat/>
    <w:rPr/>
  </w:style>
  <w:style w:type="character" w:styleId="WW8Num15z0">
    <w:name w:val="WW8Num15z0"/>
    <w:qFormat/>
    <w:rPr>
      <w:rFonts w:ascii="Wingdings" w:hAnsi="Wingdings" w:cs="Wingdings"/>
      <w:sz w:val="2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sz w:val="16"/>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sz w:val="24"/>
      <w:szCs w:val="24"/>
    </w:rPr>
  </w:style>
  <w:style w:type="character" w:styleId="WW8Num19z1">
    <w:name w:val="WW8Num19z1"/>
    <w:qFormat/>
    <w:rPr>
      <w:b w:val="false"/>
      <w:i w:val="false"/>
      <w:sz w:val="22"/>
      <w:szCs w:val="22"/>
    </w:rPr>
  </w:style>
  <w:style w:type="character" w:styleId="WW8Num19z2">
    <w:name w:val="WW8Num19z2"/>
    <w:qFormat/>
    <w:rPr/>
  </w:style>
  <w:style w:type="character" w:styleId="WW8Num20z1">
    <w:name w:val="WW8Num20z1"/>
    <w:qFormat/>
    <w:rPr>
      <w:rFonts w:ascii="Symbol" w:hAnsi="Symbol" w:cs="Symbol"/>
      <w:sz w:val="16"/>
    </w:rPr>
  </w:style>
  <w:style w:type="character" w:styleId="WW8Num21z0">
    <w:name w:val="WW8Num21z0"/>
    <w:qFormat/>
    <w:rPr>
      <w:rFonts w:ascii="Symbol" w:hAnsi="Symbol" w:cs="Symbol"/>
      <w:sz w:val="20"/>
    </w:rPr>
  </w:style>
  <w:style w:type="character" w:styleId="WW8Num22z0">
    <w:name w:val="WW8Num22z0"/>
    <w:qFormat/>
    <w:rPr>
      <w:rFonts w:ascii="Symbol" w:hAnsi="Symbol" w:cs="Symbol"/>
      <w:sz w:val="24"/>
      <w:szCs w:val="24"/>
    </w:rPr>
  </w:style>
  <w:style w:type="character" w:styleId="WW8Num22z1">
    <w:name w:val="WW8Num22z1"/>
    <w:qFormat/>
    <w:rPr>
      <w:b w:val="false"/>
      <w:i w:val="false"/>
      <w:sz w:val="22"/>
      <w:szCs w:val="22"/>
    </w:rPr>
  </w:style>
  <w:style w:type="character" w:styleId="WW8Num22z2">
    <w:name w:val="WW8Num22z2"/>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sz w:val="16"/>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6z0">
    <w:name w:val="WW8Num26z0"/>
    <w:qFormat/>
    <w:rPr>
      <w:rFonts w:ascii="Symbol" w:hAnsi="Symbol" w:cs="Symbol"/>
      <w:sz w:val="22"/>
      <w:szCs w:val="22"/>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Style5">
    <w:name w:val="Шрифт на абзаца по подразбиране"/>
    <w:qFormat/>
    <w:rPr/>
  </w:style>
  <w:style w:type="character" w:styleId="PageNumber">
    <w:name w:val="page number"/>
    <w:basedOn w:val="Style5"/>
    <w:rPr/>
  </w:style>
  <w:style w:type="character" w:styleId="Style6">
    <w:name w:val="Горен колонтитул Знак"/>
    <w:qFormat/>
    <w:rPr>
      <w:lang w:val="sv-SE"/>
    </w:rPr>
  </w:style>
  <w:style w:type="character" w:styleId="Style7">
    <w:name w:val="Долен колонтитул Знак"/>
    <w:qFormat/>
    <w:rPr>
      <w:lang w:val="sv-SE"/>
    </w:rPr>
  </w:style>
  <w:style w:type="paragraph" w:styleId="Style8">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sz w:val="24"/>
      <w:lang w:val="en-GB"/>
    </w:rPr>
  </w:style>
  <w:style w:type="paragraph" w:styleId="List">
    <w:name w:val="List"/>
    <w:basedOn w:val="BodyText"/>
    <w:pPr/>
    <w:rPr>
      <w:rFonts w:cs="Arial"/>
    </w:rPr>
  </w:style>
  <w:style w:type="paragraph" w:styleId="Caption">
    <w:name w:val="caption"/>
    <w:basedOn w:val="Normal"/>
    <w:next w:val="Normal"/>
    <w:qFormat/>
    <w:pPr>
      <w:ind w:firstLine="720" w:start="0" w:end="0"/>
      <w:jc w:val="both"/>
    </w:pPr>
    <w:rPr>
      <w:b/>
      <w:bCs/>
      <w:sz w:val="24"/>
      <w:szCs w:val="24"/>
      <w:lang w:val="bg-BG"/>
    </w:rPr>
  </w:style>
  <w:style w:type="paragraph" w:styleId="Style9">
    <w:name w:val="Указател"/>
    <w:basedOn w:val="Normal"/>
    <w:qFormat/>
    <w:pPr>
      <w:suppressLineNumbers/>
    </w:pPr>
    <w:rPr>
      <w:rFonts w:cs="Arial"/>
    </w:rPr>
  </w:style>
  <w:style w:type="paragraph" w:styleId="Style10">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Text">
    <w:name w:val="Default Text"/>
    <w:basedOn w:val="Normal"/>
    <w:qFormat/>
    <w:pPr/>
    <w:rPr>
      <w:sz w:val="24"/>
      <w:lang w:val="en-US"/>
    </w:rPr>
  </w:style>
  <w:style w:type="paragraph" w:styleId="Bullet">
    <w:name w:val="Bullet"/>
    <w:basedOn w:val="Normal"/>
    <w:qFormat/>
    <w:pPr>
      <w:numPr>
        <w:ilvl w:val="0"/>
        <w:numId w:val="5"/>
      </w:numPr>
      <w:ind w:hanging="288" w:start="288" w:end="0"/>
    </w:pPr>
    <w:rPr>
      <w:sz w:val="24"/>
      <w:lang w:val="en-US"/>
    </w:rPr>
  </w:style>
  <w:style w:type="paragraph" w:styleId="z-">
    <w:name w:val="z-Начало формуляр"/>
    <w:basedOn w:val="Normal"/>
    <w:qFormat/>
    <w:pPr/>
    <w:rPr>
      <w:sz w:val="24"/>
      <w:lang w:val="en-US"/>
    </w:rPr>
  </w:style>
  <w:style w:type="paragraph" w:styleId="2">
    <w:name w:val="Основен текст 2"/>
    <w:basedOn w:val="Normal"/>
    <w:qFormat/>
    <w:pPr>
      <w:jc w:val="both"/>
    </w:pPr>
    <w:rPr/>
  </w:style>
  <w:style w:type="paragraph" w:styleId="Style11">
    <w:name w:val="Блоков текст"/>
    <w:basedOn w:val="Normal"/>
    <w:qFormat/>
    <w:pPr>
      <w:ind w:hanging="0" w:start="289" w:end="289"/>
      <w:jc w:val="both"/>
    </w:pPr>
    <w:rPr>
      <w:rFonts w:ascii="Timok;Times New Roman" w:hAnsi="Timok;Times New Roman" w:cs="Timok;Times New Roman"/>
      <w:lang w:val="bg-BG"/>
    </w:rPr>
  </w:style>
  <w:style w:type="paragraph" w:styleId="Style12">
    <w:name w:val="Style1"/>
    <w:basedOn w:val="Normal"/>
    <w:qFormat/>
    <w:pPr>
      <w:numPr>
        <w:ilvl w:val="0"/>
        <w:numId w:val="4"/>
      </w:numPr>
      <w:ind w:hanging="0" w:start="0" w:end="0"/>
      <w:jc w:val="both"/>
    </w:pPr>
    <w:rPr>
      <w:lang w:val="bg-BG"/>
    </w:rPr>
  </w:style>
  <w:style w:type="paragraph" w:styleId="3">
    <w:name w:val="Основен текст с отстъп 3"/>
    <w:basedOn w:val="Normal"/>
    <w:qFormat/>
    <w:pPr>
      <w:widowControl w:val="false"/>
      <w:spacing w:before="120" w:after="0"/>
      <w:ind w:firstLine="454" w:start="0" w:end="0"/>
      <w:jc w:val="both"/>
    </w:pPr>
    <w:rPr>
      <w:lang w:val="bg-BG"/>
    </w:rPr>
  </w:style>
  <w:style w:type="paragraph" w:styleId="21">
    <w:name w:val="Основен текст с отстъп 2"/>
    <w:basedOn w:val="Normal"/>
    <w:qFormat/>
    <w:pPr>
      <w:widowControl w:val="false"/>
      <w:tabs>
        <w:tab w:val="clear" w:pos="720"/>
        <w:tab w:val="right" w:pos="9639" w:leader="none"/>
      </w:tabs>
      <w:ind w:firstLine="397" w:start="0" w:end="0"/>
      <w:jc w:val="both"/>
    </w:pPr>
    <w:rPr>
      <w:lang w:val="bg-BG"/>
    </w:rPr>
  </w:style>
  <w:style w:type="paragraph" w:styleId="31">
    <w:name w:val="Основен текст 3"/>
    <w:basedOn w:val="Normal"/>
    <w:qFormat/>
    <w:pPr>
      <w:spacing w:before="0" w:after="120"/>
    </w:pPr>
    <w:rPr>
      <w:sz w:val="16"/>
      <w:szCs w:val="16"/>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2017-02-17T12:01:00Z</dcterms:created>
  <dc:creator>Per-Eric Håkansson</dc:creator>
  <dc:description/>
  <cp:keywords/>
  <dc:language>bg-BG</dc:language>
  <cp:lastModifiedBy>Nikolay Trayanov</cp:lastModifiedBy>
  <cp:lastPrinted>2008-07-07T16:50:00Z</cp:lastPrinted>
  <dcterms:modified xsi:type="dcterms:W3CDTF">2023-07-11T14:55:00Z</dcterms:modified>
  <cp:revision>19</cp:revision>
  <dc:subject/>
  <dc:title>Job Descriptions</dc:title>
</cp:coreProperties>
</file>