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6"/>
        <w:gridCol w:w="7035"/>
        <w:gridCol w:w="2126"/>
      </w:tblGrid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№</w:t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bottom"/>
          </w:tcPr>
          <w:p>
            <w:pPr>
              <w:pStyle w:val="Normal"/>
              <w:snapToGrid w:val="false"/>
              <w:spacing w:lineRule="auto" w:line="360"/>
              <w:ind w:start="360" w:end="0"/>
              <w:rPr>
                <w:sz w:val="4"/>
                <w:szCs w:val="24"/>
                <w:lang w:val="ru-RU"/>
              </w:rPr>
            </w:pPr>
            <w:r>
              <w:rPr>
                <w:sz w:val="4"/>
                <w:szCs w:val="24"/>
                <w:lang w:val="ru-RU"/>
              </w:rPr>
            </w:r>
          </w:p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bottom"/>
          </w:tcPr>
          <w:p>
            <w:pPr>
              <w:pStyle w:val="Normal"/>
              <w:spacing w:lineRule="auto" w:line="360"/>
              <w:ind w:start="33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Източник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2">
              <w:r>
                <w:rPr>
                  <w:rStyle w:val="Hyperlink"/>
                  <w:sz w:val="24"/>
                  <w:szCs w:val="24"/>
                  <w:lang w:val="ru-RU"/>
                </w:rPr>
                <w:t>Търговски закон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start="33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2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hyperlink r:id="rId3">
              <w:r>
                <w:rPr>
                  <w:rStyle w:val="Hyperlink"/>
                  <w:sz w:val="24"/>
                  <w:szCs w:val="24"/>
                </w:rPr>
                <w:t>Закон за счетоводството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3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4">
              <w:r>
                <w:rPr>
                  <w:rStyle w:val="Hyperlink"/>
                  <w:sz w:val="24"/>
                  <w:szCs w:val="24"/>
                  <w:lang w:val="ru-RU"/>
                </w:rPr>
                <w:t>Закон за данък върху добавената стойност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4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5">
              <w:r>
                <w:rPr>
                  <w:rStyle w:val="Hyperlink"/>
                  <w:sz w:val="24"/>
                  <w:szCs w:val="24"/>
                  <w:lang w:val="ru-RU"/>
                </w:rPr>
                <w:t>Закон за корпоративното подоходно облагане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hyperlink r:id="rId6">
              <w:r>
                <w:rPr>
                  <w:rStyle w:val="Hyperlink"/>
                  <w:sz w:val="24"/>
                  <w:szCs w:val="24"/>
                </w:rPr>
                <w:t>Закон за здравното осигуряване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7">
              <w:r>
                <w:rPr>
                  <w:rStyle w:val="Hyperlink"/>
                  <w:sz w:val="24"/>
                  <w:szCs w:val="24"/>
                  <w:lang w:val="ru-RU"/>
                </w:rPr>
                <w:t>Закон за здравословни и безопасни условия на труд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hyperlink r:id="rId8">
              <w:r>
                <w:rPr>
                  <w:rStyle w:val="Hyperlink"/>
                  <w:sz w:val="24"/>
                  <w:szCs w:val="24"/>
                </w:rPr>
                <w:t>Кодекс на труда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hyperlink r:id="rId9">
              <w:r>
                <w:rPr>
                  <w:rStyle w:val="Hyperlink"/>
                  <w:sz w:val="24"/>
                  <w:szCs w:val="24"/>
                </w:rPr>
                <w:t>Кодекс за социалното осигуряване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9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0">
              <w:r>
                <w:rPr>
                  <w:rStyle w:val="Hyperlink"/>
                  <w:sz w:val="24"/>
                  <w:szCs w:val="24"/>
                  <w:lang w:val="ru-RU"/>
                </w:rPr>
                <w:t>Международни стандарти за финансово отчитане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bg-BG"/>
              </w:rPr>
              <w:t>0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1">
              <w:r>
                <w:rPr>
                  <w:rStyle w:val="Hyperlink"/>
                  <w:sz w:val="24"/>
                  <w:szCs w:val="24"/>
                  <w:lang w:val="ru-RU"/>
                </w:rPr>
                <w:t>Закон за задълженията и договорите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bg-BG"/>
              </w:rPr>
              <w:t>11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2">
              <w:r>
                <w:rPr>
                  <w:rStyle w:val="Hyperlink"/>
                  <w:sz w:val="24"/>
                  <w:szCs w:val="24"/>
                  <w:lang w:val="ru-RU"/>
                </w:rPr>
                <w:t>Закон за устройство на територията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bg-BG"/>
              </w:rPr>
              <w:t>2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3">
              <w:r>
                <w:rPr>
                  <w:rStyle w:val="Hyperlink"/>
                  <w:sz w:val="24"/>
                  <w:szCs w:val="24"/>
                  <w:lang w:val="ru-RU"/>
                </w:rPr>
                <w:t>Закон за защита на потребителите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bg-BG"/>
              </w:rPr>
              <w:t>3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  <w:lang w:val="ru-RU"/>
              </w:rPr>
            </w:pPr>
            <w:hyperlink r:id="rId14">
              <w:r>
                <w:rPr>
                  <w:rStyle w:val="Hyperlink"/>
                  <w:sz w:val="24"/>
                  <w:szCs w:val="24"/>
                  <w:lang w:val="ru-RU"/>
                </w:rPr>
                <w:t>Закон за защита на конкуренцията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интернет</w:t>
            </w:r>
          </w:p>
        </w:tc>
      </w:tr>
      <w:tr>
        <w:trPr/>
        <w:tc>
          <w:tcPr>
            <w:tcW w:w="5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bg-BG"/>
              </w:rPr>
              <w:t>4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7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ind w:start="36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 9001:20</w:t>
            </w:r>
            <w:r>
              <w:rPr>
                <w:sz w:val="24"/>
                <w:szCs w:val="24"/>
                <w:lang w:val="bg-BG"/>
              </w:rPr>
              <w:t>15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lang w:val="en-US"/>
              </w:rPr>
              <w:t xml:space="preserve"> </w:t>
            </w:r>
            <w:r>
              <w:rPr>
                <w:lang w:val="bg-BG"/>
              </w:rPr>
              <w:t>БИС</w:t>
            </w:r>
          </w:p>
        </w:tc>
      </w:tr>
    </w:tbl>
    <w:p>
      <w:pPr>
        <w:pStyle w:val="Normal"/>
        <w:widowControl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/>
      </w:pPr>
      <w:r>
        <w:rPr>
          <w:sz w:val="24"/>
          <w:szCs w:val="24"/>
          <w:lang w:val="bg-BG"/>
        </w:rPr>
        <w:t>Разработил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bg-BG"/>
        </w:rPr>
        <w:t>:</w:t>
      </w:r>
    </w:p>
    <w:p>
      <w:pPr>
        <w:pStyle w:val="Normal"/>
        <w:rPr>
          <w:sz w:val="18"/>
          <w:szCs w:val="24"/>
          <w:lang w:val="bg-BG"/>
        </w:rPr>
      </w:pPr>
      <w:r>
        <w:rPr>
          <w:sz w:val="18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Мениджър ИС:</w:t>
      </w:r>
      <w:r>
        <w:rPr>
          <w:sz w:val="24"/>
          <w:szCs w:val="24"/>
          <w:lang w:val="en-US"/>
        </w:rPr>
        <w:t xml:space="preserve"> </w:t>
      </w:r>
    </w:p>
    <w:p>
      <w:pPr>
        <w:pStyle w:val="Normal"/>
        <w:widowControl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widowControl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sectPr>
      <w:headerReference w:type="default" r:id="rId15"/>
      <w:headerReference w:type="first" r:id="rId16"/>
      <w:footerReference w:type="default" r:id="rId17"/>
      <w:footerReference w:type="first" r:id="rId18"/>
      <w:type w:val="nextPage"/>
      <w:pgSz w:w="11906" w:h="16838"/>
      <w:pgMar w:left="1588" w:right="567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700"/>
    </w:tblGrid>
    <w:tr>
      <w:trPr>
        <w:trHeight w:val="240" w:hRule="atLeast"/>
        <w:cantSplit/>
      </w:trPr>
      <w:tc>
        <w:tcPr>
          <w:tcW w:w="9630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НАРЪЧНИК ПО КАЧЕСТВОТО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Приложение 1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СПИСЪК НА ДОКУМЕНТИТЕ НА СИСТЕМАТА ЗА УПРАВЛЕНИЕ НА КАЧЕСТВОТО (</w:t>
          </w:r>
          <w:r>
            <w:rPr>
              <w:b/>
              <w:lang w:val="en-US"/>
            </w:rPr>
            <w:t>OD</w:t>
          </w:r>
          <w:r>
            <w:rPr>
              <w:b/>
              <w:lang w:val="bg-BG"/>
            </w:rPr>
            <w:t xml:space="preserve"> 04.02.03-1)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70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70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0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23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276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</w:rPr>
          </w:pPr>
          <w:r>
            <w:rPr>
              <w:b/>
              <w:sz w:val="28"/>
              <w:szCs w:val="28"/>
            </w:rPr>
            <w:t>„</w:t>
          </w:r>
          <w:r>
            <w:rPr>
              <w:b/>
              <w:sz w:val="28"/>
              <w:szCs w:val="28"/>
              <w:lang w:val="bg-BG"/>
            </w:rPr>
            <w:t>Витоша газ</w:t>
          </w:r>
          <w:r>
            <w:rPr>
              <w:b/>
              <w:sz w:val="28"/>
              <w:szCs w:val="28"/>
            </w:rPr>
            <w:t xml:space="preserve">“  </w:t>
          </w:r>
          <w:r>
            <w:rPr>
              <w:b/>
              <w:sz w:val="28"/>
              <w:szCs w:val="28"/>
              <w:lang w:val="bg-BG"/>
            </w:rPr>
            <w:t>Е</w:t>
          </w:r>
          <w:r>
            <w:rPr>
              <w:b/>
              <w:sz w:val="28"/>
              <w:szCs w:val="28"/>
            </w:rPr>
            <w:t>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27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</w:t>
          </w:r>
          <w:r>
            <w:rPr>
              <w:lang w:val="en-US"/>
            </w:rPr>
            <w:t>, ISO 14001</w:t>
          </w:r>
          <w:r>
            <w:rPr>
              <w:lang w:val="bg-BG"/>
            </w:rPr>
            <w:t>, 45001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1</w:t>
          </w:r>
        </w:p>
      </w:tc>
    </w:tr>
    <w:tr>
      <w:trPr>
        <w:trHeight w:val="848" w:hRule="atLeast"/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87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/>
          </w:pPr>
          <w:r>
            <w:rPr>
              <w:b/>
              <w:lang w:val="bg-BG"/>
            </w:rPr>
            <w:t xml:space="preserve">Приложение </w:t>
          </w:r>
          <w:r>
            <w:rPr>
              <w:b/>
              <w:lang w:val="en-US"/>
            </w:rPr>
            <w:t>2</w:t>
          </w:r>
          <w:r>
            <w:rPr>
              <w:b/>
              <w:lang w:val="bg-BG"/>
            </w:rPr>
            <w:t>-1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highlight w:val="green"/>
              <w:lang w:val="bg-BG"/>
            </w:rPr>
            <w:t>СПИСЪК НА ВЪНШНИ ДОКУМЕНТИ</w:t>
          </w:r>
          <w:r>
            <w:rPr>
              <w:b/>
              <w:highlight w:val="green"/>
              <w:lang w:val="en-US"/>
            </w:rPr>
            <w:t xml:space="preserve"> </w:t>
          </w:r>
          <w:r>
            <w:rPr>
              <w:b/>
              <w:highlight w:val="green"/>
              <w:lang w:val="bg-BG"/>
            </w:rPr>
            <w:t>- СУК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widowControl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erChar">
    <w:name w:val="Header Char"/>
    <w:qFormat/>
    <w:rPr>
      <w:lang w:val="en-GB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</w:pPr>
    <w:rPr>
      <w:sz w:val="28"/>
      <w:lang w:val="bg-BG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mi.government.bg/bg/library/targovski-zakon-267-c25-m258-2.html" TargetMode="External"/><Relationship Id="rId3" Type="http://schemas.openxmlformats.org/officeDocument/2006/relationships/hyperlink" Target="http://www.firmeno.net/2012/12/01012013_16.html" TargetMode="External"/><Relationship Id="rId4" Type="http://schemas.openxmlformats.org/officeDocument/2006/relationships/hyperlink" Target="http://www.nap.bg/page?sId125fsL=2&amp;sId125dsA=2013&amp;id=34&amp;textMode=0" TargetMode="External"/><Relationship Id="rId5" Type="http://schemas.openxmlformats.org/officeDocument/2006/relationships/hyperlink" Target="http://www.nap.bg/page?sId125fsL=3&amp;sId125dsA=2013&amp;id=34&amp;textMode=0" TargetMode="External"/><Relationship Id="rId6" Type="http://schemas.openxmlformats.org/officeDocument/2006/relationships/hyperlink" Target="http://lex.bg/laws/ldoc/2134412800" TargetMode="External"/><Relationship Id="rId7" Type="http://schemas.openxmlformats.org/officeDocument/2006/relationships/hyperlink" Target="http://lex.bg/laws/ldoc/2134178305" TargetMode="External"/><Relationship Id="rId8" Type="http://schemas.openxmlformats.org/officeDocument/2006/relationships/hyperlink" Target="http://www.mlsp.government.bg/bg/law/law/" TargetMode="External"/><Relationship Id="rId9" Type="http://schemas.openxmlformats.org/officeDocument/2006/relationships/hyperlink" Target="http://www.mlsp.government.bg/bg/law/law/" TargetMode="External"/><Relationship Id="rId10" Type="http://schemas.openxmlformats.org/officeDocument/2006/relationships/hyperlink" Target="http://kontoconsult.com/dnl/IAS_IFAS08.pdf" TargetMode="External"/><Relationship Id="rId11" Type="http://schemas.openxmlformats.org/officeDocument/2006/relationships/hyperlink" Target="http://lex.bg/laws/ldoc/2121934337" TargetMode="External"/><Relationship Id="rId12" Type="http://schemas.openxmlformats.org/officeDocument/2006/relationships/hyperlink" Target="http://lex.bg/laws/ldoc/2135163904" TargetMode="External"/><Relationship Id="rId13" Type="http://schemas.openxmlformats.org/officeDocument/2006/relationships/hyperlink" Target="http://lex.bg/laws/ldoc/2135513678" TargetMode="External"/><Relationship Id="rId14" Type="http://schemas.openxmlformats.org/officeDocument/2006/relationships/hyperlink" Target="http://www.lex.bg/bg/laws/ldoc/2135607845" TargetMode="Externa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2011-02-16T13:10:00Z</dcterms:created>
  <dc:creator>МТ</dc:creator>
  <dc:description/>
  <cp:keywords/>
  <dc:language>bg-BG</dc:language>
  <cp:lastModifiedBy>Julia</cp:lastModifiedBy>
  <cp:lastPrinted>2013-04-15T18:09:00Z</cp:lastPrinted>
  <dcterms:modified xsi:type="dcterms:W3CDTF">2019-11-06T18:43:00Z</dcterms:modified>
  <cp:revision>51</cp:revision>
  <dc:subject>Наръчник по качеството</dc:subject>
  <dc:title>Списък на документите на СУК</dc:title>
</cp:coreProperties>
</file>