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781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1"/>
        <w:gridCol w:w="6804"/>
        <w:gridCol w:w="2126"/>
      </w:tblGrid>
      <w:tr>
        <w:trPr>
          <w:trHeight w:val="607" w:hRule="atLeas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autoSpaceDE w:val="false"/>
              <w:spacing w:before="100" w:after="100"/>
              <w:jc w:val="center"/>
              <w:rPr>
                <w:color w:val="000000"/>
                <w:sz w:val="24"/>
                <w:szCs w:val="24"/>
                <w:lang w:val="bg-BG"/>
              </w:rPr>
            </w:pPr>
            <w:r>
              <w:rPr>
                <w:color w:val="000000"/>
                <w:sz w:val="24"/>
                <w:szCs w:val="24"/>
                <w:lang w:val="bg-BG"/>
              </w:rPr>
              <w:t>№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autoSpaceDE w:val="false"/>
              <w:spacing w:before="100" w:after="100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bg-BG"/>
              </w:rPr>
              <w:t>Наименование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autoSpaceDE w:val="false"/>
              <w:spacing w:before="100" w:after="100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Източник</w:t>
            </w:r>
          </w:p>
        </w:tc>
      </w:tr>
      <w:tr>
        <w:trPr/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before="100" w:after="10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before="100" w:after="100"/>
              <w:rPr/>
            </w:pPr>
            <w:hyperlink r:id="rId2">
              <w:r>
                <w:rPr>
                  <w:rStyle w:val="Hyperlink"/>
                  <w:sz w:val="24"/>
                  <w:szCs w:val="24"/>
                  <w:lang w:val="bg-BG"/>
                </w:rPr>
                <w:t>Закон за управление на отпадъците</w:t>
              </w:r>
            </w:hyperlink>
            <w:r>
              <w:rPr>
                <w:color w:val="000000"/>
                <w:lang w:val="bg-BG"/>
              </w:rPr>
              <w:t xml:space="preserve"> </w:t>
            </w:r>
            <w:r>
              <w:rPr>
                <w:color w:val="000000"/>
                <w:sz w:val="24"/>
                <w:szCs w:val="24"/>
                <w:lang w:val="ru-RU"/>
              </w:rPr>
              <w:t>( ДВ, бр.86/30.09.2003 г.)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before="100" w:after="100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Интернет</w:t>
            </w:r>
          </w:p>
        </w:tc>
      </w:tr>
      <w:tr>
        <w:trPr/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before="100" w:after="10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before="100" w:after="100"/>
              <w:rPr/>
            </w:pPr>
            <w:hyperlink r:id="rId3">
              <w:r>
                <w:rPr>
                  <w:rStyle w:val="Hyperlink"/>
                  <w:sz w:val="24"/>
                  <w:szCs w:val="24"/>
                  <w:lang w:val="ru-RU"/>
                </w:rPr>
                <w:t>Закон за опазване на околната среда</w:t>
              </w:r>
            </w:hyperlink>
            <w:r>
              <w:rPr>
                <w:color w:val="000000"/>
                <w:sz w:val="24"/>
                <w:szCs w:val="24"/>
                <w:lang w:val="ru-RU"/>
              </w:rPr>
              <w:t xml:space="preserve"> ( ДВ, бр.91/25.09.2002г.)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Интернет</w:t>
            </w:r>
          </w:p>
        </w:tc>
      </w:tr>
      <w:tr>
        <w:trPr/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before="100" w:after="100"/>
              <w:jc w:val="center"/>
              <w:rPr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bCs/>
                <w:color w:val="000000"/>
                <w:sz w:val="24"/>
                <w:szCs w:val="24"/>
                <w:lang w:val="ru-RU"/>
              </w:rPr>
              <w:t>3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before="100" w:after="100"/>
              <w:rPr/>
            </w:pPr>
            <w:hyperlink r:id="rId4">
              <w:r>
                <w:rPr>
                  <w:rStyle w:val="Hyperlink"/>
                  <w:sz w:val="24"/>
                  <w:szCs w:val="24"/>
                  <w:lang w:val="ru-RU"/>
                </w:rPr>
                <w:t>Наредба № 3 за класификация на отпадъците</w:t>
              </w:r>
            </w:hyperlink>
            <w:r>
              <w:rPr>
                <w:color w:val="000000"/>
                <w:lang w:val="ru-RU"/>
              </w:rPr>
              <w:t xml:space="preserve"> </w:t>
            </w:r>
            <w:r>
              <w:rPr>
                <w:bCs/>
                <w:color w:val="000000"/>
                <w:sz w:val="24"/>
                <w:szCs w:val="24"/>
                <w:lang w:val="ru-RU"/>
              </w:rPr>
              <w:t>(ДВ, бр. 44 от 25.05.2004 г. )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Интернет</w:t>
            </w:r>
          </w:p>
        </w:tc>
      </w:tr>
      <w:tr>
        <w:trPr/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before="100" w:after="10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4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before="100" w:after="100"/>
              <w:rPr/>
            </w:pPr>
            <w:hyperlink r:id="rId5">
              <w:r>
                <w:rPr>
                  <w:rStyle w:val="Hyperlink"/>
                  <w:sz w:val="24"/>
                  <w:szCs w:val="24"/>
                  <w:lang w:val="ru-RU"/>
                </w:rPr>
                <w:t>Наредба за опаковките и отпадъците от опаковки</w:t>
              </w:r>
            </w:hyperlink>
            <w:r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  <w:sz w:val="24"/>
                <w:szCs w:val="24"/>
                <w:lang w:val="ru-RU"/>
              </w:rPr>
              <w:t>(обн. ДВ, бр.19/09.03.2004 г.)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Интернет</w:t>
            </w:r>
          </w:p>
        </w:tc>
      </w:tr>
      <w:tr>
        <w:trPr/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before="100" w:after="10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5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before="100" w:after="100"/>
              <w:rPr>
                <w:color w:val="000000"/>
                <w:sz w:val="24"/>
                <w:szCs w:val="24"/>
                <w:lang w:val="ru-RU"/>
              </w:rPr>
            </w:pPr>
            <w:hyperlink r:id="rId6">
              <w:r>
                <w:rPr>
                  <w:rStyle w:val="Hyperlink"/>
                  <w:sz w:val="24"/>
                  <w:szCs w:val="24"/>
                  <w:lang w:val="ru-RU"/>
                </w:rPr>
                <w:t>Наредба № 9 от 28 септември 2004 г. за реда и образците, по които се предоставя информация за дейностите по отпадъците, както и реда за водене на публичния регистър на издадените разрешения, регистрационните документи и на закритите обекти и дейности</w:t>
              </w:r>
            </w:hyperlink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Интернет</w:t>
            </w:r>
          </w:p>
        </w:tc>
      </w:tr>
      <w:tr>
        <w:trPr/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before="100" w:after="10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6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before="100" w:after="100"/>
              <w:rPr/>
            </w:pPr>
            <w:hyperlink r:id="rId7">
              <w:r>
                <w:rPr>
                  <w:rStyle w:val="Hyperlink"/>
                  <w:sz w:val="24"/>
                  <w:szCs w:val="24"/>
                  <w:lang w:val="ru-RU"/>
                </w:rPr>
                <w:t>Наредба за изискванията за третиране и транспортиране на производствени и опасни отпадъци</w:t>
              </w:r>
            </w:hyperlink>
            <w:r>
              <w:rPr>
                <w:color w:val="000000"/>
                <w:sz w:val="24"/>
                <w:szCs w:val="24"/>
                <w:lang w:val="ru-RU"/>
              </w:rPr>
              <w:t xml:space="preserve"> (приета с ПМС № 53 от 1999г., ДВ, бр.29/1999г.)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Интернет</w:t>
            </w:r>
          </w:p>
        </w:tc>
      </w:tr>
      <w:tr>
        <w:trPr/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before="100" w:after="10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7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before="100" w:after="100"/>
              <w:rPr/>
            </w:pPr>
            <w:hyperlink r:id="rId8">
              <w:r>
                <w:rPr>
                  <w:rStyle w:val="Hyperlink"/>
                  <w:sz w:val="24"/>
                  <w:szCs w:val="24"/>
                  <w:lang w:val="ru-RU"/>
                </w:rPr>
                <w:t>Наредба за изискванията за третиране на отработени масла и отпадъчни нефтопродукти</w:t>
              </w:r>
            </w:hyperlink>
            <w:r>
              <w:rPr>
                <w:color w:val="000000"/>
                <w:sz w:val="24"/>
                <w:szCs w:val="24"/>
                <w:lang w:val="ru-RU"/>
              </w:rPr>
              <w:t xml:space="preserve"> (приета с ПМС № 131 от 2000г., ДВ, бр.59/2000г.)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Интернет</w:t>
            </w:r>
          </w:p>
        </w:tc>
      </w:tr>
      <w:tr>
        <w:trPr/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before="100" w:after="10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8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before="100" w:after="100"/>
              <w:rPr/>
            </w:pPr>
            <w:hyperlink r:id="rId9">
              <w:r>
                <w:rPr>
                  <w:rStyle w:val="Hyperlink"/>
                  <w:sz w:val="24"/>
                  <w:szCs w:val="24"/>
                  <w:lang w:val="ru-RU"/>
                </w:rPr>
                <w:t>Наредба за изискванията за пускане на пазара на луминесцентни и други лампи, съдържащи живак, и за третиране и транспортиране на излезли от употреба луминесцентни и други лампи, съдържащи живак</w:t>
              </w:r>
            </w:hyperlink>
            <w:r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  <w:sz w:val="24"/>
                <w:szCs w:val="24"/>
                <w:lang w:val="ru-RU"/>
              </w:rPr>
              <w:t>(обн. ДВ., бр.101/2000 г.)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Интернет</w:t>
            </w:r>
          </w:p>
        </w:tc>
      </w:tr>
      <w:tr>
        <w:trPr/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before="100" w:after="10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9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before="100" w:after="100"/>
              <w:rPr/>
            </w:pPr>
            <w:hyperlink r:id="rId10">
              <w:r>
                <w:rPr>
                  <w:rStyle w:val="Hyperlink"/>
                  <w:sz w:val="24"/>
                  <w:szCs w:val="24"/>
                  <w:lang w:val="ru-RU"/>
                </w:rPr>
                <w:t>Наредба за условията и реда за намаляване на замърсяването с отпадъци от моторни превозни средства</w:t>
              </w:r>
            </w:hyperlink>
            <w:r>
              <w:rPr>
                <w:color w:val="000000"/>
                <w:sz w:val="24"/>
                <w:szCs w:val="24"/>
                <w:lang w:val="ru-RU"/>
              </w:rPr>
              <w:t xml:space="preserve"> (обн. ДВ, бр.98/2001г.)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Интернет</w:t>
            </w:r>
          </w:p>
        </w:tc>
      </w:tr>
      <w:tr>
        <w:trPr/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before="100" w:after="100"/>
              <w:jc w:val="center"/>
              <w:rPr>
                <w:bCs/>
                <w:color w:val="000000"/>
                <w:kern w:val="2"/>
                <w:sz w:val="24"/>
                <w:szCs w:val="24"/>
                <w:lang w:val="bg-BG"/>
              </w:rPr>
            </w:pPr>
            <w:r>
              <w:rPr>
                <w:bCs/>
                <w:color w:val="000000"/>
                <w:kern w:val="2"/>
                <w:sz w:val="24"/>
                <w:szCs w:val="24"/>
                <w:lang w:val="bg-BG"/>
              </w:rPr>
              <w:t>10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before="100" w:after="100"/>
              <w:rPr>
                <w:bCs/>
                <w:color w:val="000000"/>
                <w:kern w:val="2"/>
                <w:sz w:val="24"/>
                <w:szCs w:val="24"/>
                <w:lang w:val="bg-BG"/>
              </w:rPr>
            </w:pPr>
            <w:r>
              <w:rPr>
                <w:color w:val="000000"/>
                <w:sz w:val="24"/>
                <w:szCs w:val="24"/>
                <w:lang w:val="bg-BG"/>
              </w:rPr>
              <w:t>Наредба за управление на отпадъците на територията на община</w:t>
            </w:r>
            <w:r>
              <w:rPr>
                <w:color w:val="000000"/>
                <w:sz w:val="24"/>
                <w:szCs w:val="24"/>
                <w:lang w:val="ru-RU"/>
              </w:rPr>
              <w:t xml:space="preserve"> Столична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Хартия</w:t>
            </w:r>
          </w:p>
        </w:tc>
      </w:tr>
      <w:tr>
        <w:trPr/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before="100" w:after="100"/>
              <w:jc w:val="center"/>
              <w:rPr>
                <w:bCs/>
                <w:color w:val="000000"/>
                <w:kern w:val="2"/>
                <w:sz w:val="24"/>
                <w:szCs w:val="24"/>
                <w:lang w:val="bg-BG"/>
              </w:rPr>
            </w:pPr>
            <w:r>
              <w:rPr>
                <w:bCs/>
                <w:color w:val="000000"/>
                <w:kern w:val="2"/>
                <w:sz w:val="24"/>
                <w:szCs w:val="24"/>
                <w:lang w:val="bg-BG"/>
              </w:rPr>
              <w:t>11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before="100" w:after="100"/>
              <w:rPr>
                <w:bCs/>
                <w:color w:val="000000"/>
                <w:kern w:val="2"/>
                <w:sz w:val="24"/>
                <w:szCs w:val="24"/>
                <w:lang w:val="bg-BG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ISO</w:t>
            </w:r>
            <w:r>
              <w:rPr>
                <w:color w:val="000000"/>
                <w:sz w:val="24"/>
                <w:szCs w:val="24"/>
                <w:lang w:val="bg-BG"/>
              </w:rPr>
              <w:t xml:space="preserve"> 14001:2015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before="100" w:after="100"/>
              <w:ind w:start="34" w:end="0"/>
              <w:rPr>
                <w:bCs/>
                <w:color w:val="000000"/>
                <w:kern w:val="2"/>
                <w:sz w:val="24"/>
                <w:szCs w:val="24"/>
                <w:lang w:val="bg-BG"/>
              </w:rPr>
            </w:pPr>
            <w:r>
              <w:rPr>
                <w:bCs/>
                <w:color w:val="000000"/>
                <w:kern w:val="2"/>
                <w:sz w:val="24"/>
                <w:szCs w:val="24"/>
                <w:lang w:val="bg-BG"/>
              </w:rPr>
              <w:t>БИС</w:t>
            </w:r>
          </w:p>
        </w:tc>
      </w:tr>
    </w:tbl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/>
      </w:pPr>
      <w:r>
        <w:rPr>
          <w:sz w:val="24"/>
          <w:szCs w:val="24"/>
          <w:lang w:val="bg-BG"/>
        </w:rPr>
        <w:t>Разработил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bg-BG"/>
        </w:rPr>
        <w:t>:</w:t>
      </w:r>
    </w:p>
    <w:p>
      <w:pPr>
        <w:pStyle w:val="Normal"/>
        <w:rPr>
          <w:sz w:val="18"/>
          <w:szCs w:val="24"/>
          <w:lang w:val="bg-BG"/>
        </w:rPr>
      </w:pPr>
      <w:r>
        <w:rPr>
          <w:sz w:val="18"/>
          <w:szCs w:val="24"/>
          <w:lang w:val="bg-BG"/>
        </w:rPr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Мениджър ИС: </w:t>
      </w:r>
    </w:p>
    <w:sectPr>
      <w:headerReference w:type="default" r:id="rId11"/>
      <w:headerReference w:type="first" r:id="rId12"/>
      <w:type w:val="nextPage"/>
      <w:pgSz w:w="11906" w:h="16838"/>
      <w:pgMar w:left="1588" w:right="567" w:gutter="0" w:header="624" w:top="680" w:footer="0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3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8080"/>
      <w:gridCol w:w="850"/>
      <w:gridCol w:w="700"/>
    </w:tblGrid>
    <w:tr>
      <w:trPr>
        <w:trHeight w:val="240" w:hRule="atLeast"/>
        <w:cantSplit/>
      </w:trPr>
      <w:tc>
        <w:tcPr>
          <w:tcW w:w="9630" w:type="dxa"/>
          <w:gridSpan w:val="3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b/>
              <w:lang w:val="bg-BG"/>
            </w:rPr>
            <w:t xml:space="preserve"> </w:t>
          </w:r>
          <w:r>
            <w:rPr>
              <w:b/>
              <w:lang w:val="bg-BG"/>
            </w:rPr>
            <w:t>НАРЪЧНИК ПО КАЧЕСТВОТО</w:t>
          </w:r>
        </w:p>
      </w:tc>
    </w:tr>
    <w:tr>
      <w:trPr>
        <w:trHeight w:val="360" w:hRule="atLeast"/>
        <w:cantSplit/>
      </w:trPr>
      <w:tc>
        <w:tcPr>
          <w:tcW w:w="8080" w:type="dxa"/>
          <w:vMerge w:val="restart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Приложение 1</w:t>
          </w:r>
        </w:p>
        <w:p>
          <w:pPr>
            <w:pStyle w:val="Header"/>
            <w:widowControl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 xml:space="preserve"> </w:t>
          </w:r>
          <w:r>
            <w:rPr>
              <w:b/>
              <w:lang w:val="bg-BG"/>
            </w:rPr>
            <w:t>СПИСЪК НА ДОКУМЕНТИТЕ НА СИСТЕМАТА ЗА УПРАВЛЕНИЕ НА КАЧЕСТВОТО (</w:t>
          </w:r>
          <w:r>
            <w:rPr>
              <w:b/>
              <w:lang w:val="en-US"/>
            </w:rPr>
            <w:t>OD</w:t>
          </w:r>
          <w:r>
            <w:rPr>
              <w:b/>
              <w:lang w:val="bg-BG"/>
            </w:rPr>
            <w:t xml:space="preserve"> 04.02.03-1)</w:t>
          </w:r>
        </w:p>
      </w:tc>
      <w:tc>
        <w:tcPr>
          <w:tcW w:w="850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Версия</w:t>
          </w:r>
        </w:p>
      </w:tc>
      <w:tc>
        <w:tcPr>
          <w:tcW w:w="700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trHeight w:val="360" w:hRule="atLeast"/>
        <w:cantSplit/>
      </w:trPr>
      <w:tc>
        <w:tcPr>
          <w:tcW w:w="8080" w:type="dxa"/>
          <w:vMerge w:val="continue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snapToGrid w:val="false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</w:r>
        </w:p>
      </w:tc>
      <w:tc>
        <w:tcPr>
          <w:tcW w:w="850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700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rStyle w:val="PageNumber"/>
              <w:bCs/>
              <w:lang w:val="bg-BG"/>
            </w:rPr>
          </w:pPr>
          <w:r>
            <w:rPr>
              <w:rStyle w:val="PageNumber"/>
              <w:bCs/>
            </w:rPr>
            <w:fldChar w:fldCharType="begin"/>
          </w:r>
          <w:r>
            <w:rPr>
              <w:rStyle w:val="PageNumber"/>
              <w:bCs/>
            </w:rPr>
            <w:instrText xml:space="preserve"> PAGE </w:instrText>
          </w:r>
          <w:r>
            <w:rPr>
              <w:rStyle w:val="PageNumber"/>
              <w:bCs/>
            </w:rPr>
            <w:fldChar w:fldCharType="separate"/>
          </w:r>
          <w:r>
            <w:rPr>
              <w:rStyle w:val="PageNumber"/>
              <w:bCs/>
            </w:rPr>
            <w:t>0</w:t>
          </w:r>
          <w:r>
            <w:rPr>
              <w:rStyle w:val="PageNumber"/>
              <w:bCs/>
            </w:rPr>
            <w:fldChar w:fldCharType="end"/>
          </w:r>
          <w:r>
            <w:rPr>
              <w:lang w:val="bg-BG"/>
            </w:rPr>
            <w:t>/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\* ARABIC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1</w:t>
          </w:r>
          <w:r>
            <w:rPr>
              <w:rStyle w:val="PageNumber"/>
            </w:rPr>
            <w:fldChar w:fldCharType="end"/>
          </w:r>
        </w:p>
      </w:tc>
    </w:tr>
  </w:tbl>
  <w:p>
    <w:pPr>
      <w:pStyle w:val="Header"/>
      <w:rPr>
        <w:rStyle w:val="PageNumber"/>
        <w:bCs/>
        <w:lang w:val="bg-BG"/>
      </w:rPr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23" w:type="dxa"/>
      <w:jc w:val="start"/>
      <w:tblInd w:w="-34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044"/>
      <w:gridCol w:w="4469"/>
      <w:gridCol w:w="1134"/>
      <w:gridCol w:w="1276"/>
    </w:tblGrid>
    <w:tr>
      <w:trPr>
        <w:cantSplit/>
      </w:trPr>
      <w:tc>
        <w:tcPr>
          <w:tcW w:w="3044" w:type="dxa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b/>
              <w:sz w:val="24"/>
              <w:szCs w:val="24"/>
            </w:rPr>
          </w:pPr>
          <w:r>
            <w:rPr>
              <w:b/>
              <w:sz w:val="28"/>
              <w:szCs w:val="28"/>
            </w:rPr>
            <w:t>„</w:t>
          </w:r>
          <w:r>
            <w:rPr>
              <w:b/>
              <w:sz w:val="28"/>
              <w:szCs w:val="28"/>
              <w:lang w:val="bg-BG"/>
            </w:rPr>
            <w:t>Витоша газ</w:t>
          </w:r>
          <w:r>
            <w:rPr>
              <w:b/>
              <w:sz w:val="28"/>
              <w:szCs w:val="28"/>
            </w:rPr>
            <w:t xml:space="preserve">“  </w:t>
          </w:r>
          <w:r>
            <w:rPr>
              <w:b/>
              <w:sz w:val="28"/>
              <w:szCs w:val="28"/>
              <w:lang w:val="bg-BG"/>
            </w:rPr>
            <w:t>Е</w:t>
          </w:r>
          <w:r>
            <w:rPr>
              <w:b/>
              <w:sz w:val="28"/>
              <w:szCs w:val="28"/>
            </w:rPr>
            <w:t>ООД</w:t>
          </w:r>
        </w:p>
      </w:tc>
      <w:tc>
        <w:tcPr>
          <w:tcW w:w="4469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rPr>
              <w:lang w:val="bg-BG"/>
            </w:rPr>
          </w:pPr>
          <w:r>
            <w:rPr>
              <w:b/>
              <w:lang w:val="bg-BG"/>
            </w:rPr>
            <w:t>НАРЪЧНИК НА ИС</w:t>
          </w:r>
        </w:p>
      </w:tc>
      <w:tc>
        <w:tcPr>
          <w:tcW w:w="1134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ru-RU"/>
            </w:rPr>
            <w:t>Версия</w:t>
          </w:r>
        </w:p>
      </w:tc>
      <w:tc>
        <w:tcPr>
          <w:tcW w:w="1276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i/>
              <w:lang w:val="bg-BG"/>
            </w:rPr>
          </w:pPr>
          <w:r>
            <w:rPr>
              <w:lang w:val="bg-BG"/>
            </w:rPr>
            <w:t>0</w:t>
          </w:r>
          <w:r>
            <w:rPr/>
            <w:t>1</w:t>
          </w:r>
        </w:p>
      </w:tc>
    </w:tr>
    <w:tr>
      <w:trPr>
        <w:cantSplit/>
      </w:trPr>
      <w:tc>
        <w:tcPr>
          <w:tcW w:w="3044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i/>
              <w:lang w:val="bg-BG"/>
            </w:rPr>
          </w:pPr>
          <w:r>
            <w:rPr>
              <w:i/>
              <w:lang w:val="bg-BG"/>
            </w:rPr>
          </w:r>
        </w:p>
      </w:tc>
      <w:tc>
        <w:tcPr>
          <w:tcW w:w="4469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rPr>
              <w:lang w:val="bg-BG"/>
            </w:rPr>
          </w:pPr>
          <w:r>
            <w:rPr/>
            <w:t>ISO</w:t>
          </w:r>
          <w:r>
            <w:rPr>
              <w:lang w:val="bg-BG"/>
            </w:rPr>
            <w:t xml:space="preserve"> 9001</w:t>
          </w:r>
          <w:r>
            <w:rPr>
              <w:lang w:val="en-US"/>
            </w:rPr>
            <w:t>, ISO 14001</w:t>
          </w:r>
          <w:r>
            <w:rPr>
              <w:lang w:val="bg-BG"/>
            </w:rPr>
            <w:t>, 45001</w:t>
          </w:r>
        </w:p>
      </w:tc>
      <w:tc>
        <w:tcPr>
          <w:tcW w:w="1134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276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1/</w:t>
          </w:r>
          <w:r>
            <w:rPr>
              <w:lang w:val="en-US"/>
            </w:rPr>
            <w:t>1</w:t>
          </w:r>
        </w:p>
      </w:tc>
    </w:tr>
    <w:tr>
      <w:trPr>
        <w:trHeight w:val="848" w:hRule="atLeast"/>
        <w:cantSplit/>
      </w:trPr>
      <w:tc>
        <w:tcPr>
          <w:tcW w:w="3044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6879" w:type="dxa"/>
          <w:gridSpan w:val="3"/>
          <w:tcBorders>
            <w:top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/>
          </w:pPr>
          <w:r>
            <w:rPr>
              <w:b/>
              <w:lang w:val="bg-BG"/>
            </w:rPr>
            <w:t xml:space="preserve">Приложение </w:t>
          </w:r>
          <w:r>
            <w:rPr>
              <w:b/>
              <w:lang w:val="en-US"/>
            </w:rPr>
            <w:t>2</w:t>
          </w:r>
          <w:r>
            <w:rPr>
              <w:b/>
              <w:lang w:val="bg-BG"/>
            </w:rPr>
            <w:t>-2</w:t>
          </w:r>
        </w:p>
        <w:p>
          <w:pPr>
            <w:pStyle w:val="Header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СПИСЪК НА ВЪНШНИ ДОКУМЕНТИ - СУОС</w:t>
          </w:r>
        </w:p>
      </w:tc>
    </w:tr>
  </w:tbl>
  <w:p>
    <w:pPr>
      <w:pStyle w:val="Header"/>
      <w:widowControl/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outlineLvl w:val="0"/>
    </w:pPr>
    <w:rPr>
      <w:rFonts w:ascii="Arial" w:hAnsi="Arial" w:cs="Arial"/>
      <w:b/>
      <w:lang w:val="bg-BG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8z0">
    <w:name w:val="WW8Num18z0"/>
    <w:qFormat/>
    <w:rPr>
      <w:rFonts w:ascii="Symbol" w:hAnsi="Symbol" w:cs="Symbol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9z0">
    <w:name w:val="WW8Num19z0"/>
    <w:qFormat/>
    <w:rPr>
      <w:rFonts w:ascii="Symbol" w:hAnsi="Symbol" w:cs="Symbol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20z0">
    <w:name w:val="WW8Num20z0"/>
    <w:qFormat/>
    <w:rPr>
      <w:rFonts w:ascii="Symbol" w:hAnsi="Symbol" w:cs="Symbol"/>
    </w:rPr>
  </w:style>
  <w:style w:type="character" w:styleId="WW8NumSt1z0">
    <w:name w:val="WW8NumSt1z0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sz w:val="20"/>
    </w:rPr>
  </w:style>
  <w:style w:type="character" w:styleId="CommentReference">
    <w:name w:val="Comment Reference"/>
    <w:qFormat/>
    <w:rPr>
      <w:sz w:val="16"/>
    </w:rPr>
  </w:style>
  <w:style w:type="character" w:styleId="Hyperlink">
    <w:name w:val="Hyperlink"/>
    <w:rPr>
      <w:color w:val="0066CC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HeaderChar">
    <w:name w:val="Header Char"/>
    <w:qFormat/>
    <w:rPr>
      <w:lang w:val="en-GB"/>
    </w:rPr>
  </w:style>
  <w:style w:type="paragraph" w:styleId="Style13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"/>
    <w:basedOn w:val="Normal"/>
    <w:qFormat/>
    <w:pPr>
      <w:suppressLineNumbers/>
    </w:pPr>
    <w:rPr>
      <w:rFonts w:cs="Arial"/>
    </w:rPr>
  </w:style>
  <w:style w:type="paragraph" w:styleId="Style15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CommentText">
    <w:name w:val="Comment Text"/>
    <w:basedOn w:val="Normal"/>
    <w:qFormat/>
    <w:pPr/>
    <w:rPr/>
  </w:style>
  <w:style w:type="paragraph" w:styleId="BodyText2">
    <w:name w:val="Body Text 2"/>
    <w:basedOn w:val="Normal"/>
    <w:qFormat/>
    <w:pPr>
      <w:widowControl/>
    </w:pPr>
    <w:rPr>
      <w:sz w:val="28"/>
      <w:lang w:val="bg-BG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3.moew.government.bg/files/file/Waste/Legislation/Zakoni/ZUO.pdf" TargetMode="External"/><Relationship Id="rId3" Type="http://schemas.openxmlformats.org/officeDocument/2006/relationships/hyperlink" Target="http://lex.bg/laws/ldoc/2135458102" TargetMode="External"/><Relationship Id="rId4" Type="http://schemas.openxmlformats.org/officeDocument/2006/relationships/hyperlink" Target="http://im.cablebg.net/clients/n3osvd04.htm" TargetMode="External"/><Relationship Id="rId5" Type="http://schemas.openxmlformats.org/officeDocument/2006/relationships/hyperlink" Target="http://www3.moew.government.bg/files/file/Waste/Legislation/Naredbi/waste/Naredba_opakovki.pdf" TargetMode="External"/><Relationship Id="rId6" Type="http://schemas.openxmlformats.org/officeDocument/2006/relationships/hyperlink" Target="http://www.ecomedia.bg/laws/waste-management/law/41" TargetMode="External"/><Relationship Id="rId7" Type="http://schemas.openxmlformats.org/officeDocument/2006/relationships/hyperlink" Target="http://haskovo.riosv.com/docs/PMS_53.pdf" TargetMode="External"/><Relationship Id="rId8" Type="http://schemas.openxmlformats.org/officeDocument/2006/relationships/hyperlink" Target="http://eea.government.bg/bg/legislation/waste/om/Naredbamaslar.pdf" TargetMode="External"/><Relationship Id="rId9" Type="http://schemas.openxmlformats.org/officeDocument/2006/relationships/hyperlink" Target="http://www.google.bg/url?sa=t&amp;rct=j&amp;q=&amp;esrc=s&amp;source=web&amp;cd=1&amp;ved=0CCsQFjAA&amp;url=http%3A%2F%2Fwww.riosv.icon.bg%2Fitems%2Fdocuments%2F160_1.doc&amp;ei=fEllUaehJ4KmtAa43oEQ&amp;usg=AFQjCNE6JeujT5W_thahoS4g43z405E-lg&amp;bvm=bv.44990110,d.Yms&amp;cad=rja" TargetMode="External"/><Relationship Id="rId10" Type="http://schemas.openxmlformats.org/officeDocument/2006/relationships/hyperlink" Target="http://plusminus.com/bg/info/naview.aspx?&amp;id=27871" TargetMode="Externa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2011-02-16T13:10:00Z</dcterms:created>
  <dc:creator>МТ</dc:creator>
  <dc:description/>
  <cp:keywords/>
  <dc:language>bg-BG</dc:language>
  <cp:lastModifiedBy>Julia</cp:lastModifiedBy>
  <cp:lastPrinted>2007-06-16T09:59:00Z</cp:lastPrinted>
  <dcterms:modified xsi:type="dcterms:W3CDTF">2019-11-06T18:46:00Z</dcterms:modified>
  <cp:revision>49</cp:revision>
  <dc:subject>Наръчник по качеството</dc:subject>
  <dc:title>Списък на документите на СУК</dc:title>
</cp:coreProperties>
</file>