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180" w:end="0"/>
        <w:rPr>
          <w:b/>
          <w:color w:val="FF0000"/>
          <w:lang w:val="en-US"/>
        </w:rPr>
      </w:pPr>
      <w:r>
        <w:rPr>
          <w:b/>
          <w:color w:val="FF0000"/>
          <w:lang w:val="en-US"/>
        </w:rPr>
      </w:r>
    </w:p>
    <w:p>
      <w:pPr>
        <w:pStyle w:val="Normal"/>
        <w:ind w:start="180" w:end="0"/>
        <w:rPr>
          <w:b/>
          <w:color w:val="FF0000"/>
          <w:lang w:val="en-US" w:eastAsia="bg-BG"/>
        </w:rPr>
      </w:pPr>
      <w:r>
        <w:rPr>
          <w:b/>
          <w:color w:val="FF0000"/>
          <w:lang w:val="en-US" w:eastAsia="bg-BG"/>
        </w:rPr>
        <w:drawing>
          <wp:anchor distT="499745" distB="504825" distL="114935" distR="114935" simplePos="0" relativeHeight="2" behindDoc="0" locked="0" layoutInCell="1" allowOverlap="1">
            <wp:simplePos x="0" y="0"/>
            <wp:positionH relativeFrom="column">
              <wp:posOffset>29845</wp:posOffset>
            </wp:positionH>
            <wp:positionV relativeFrom="paragraph">
              <wp:posOffset>113665</wp:posOffset>
            </wp:positionV>
            <wp:extent cx="9893935" cy="4322445"/>
            <wp:effectExtent l="0" t="0" r="0" b="0"/>
            <wp:wrapNone/>
            <wp:docPr id="1" name="Diagra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 9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" t="-8" r="-4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3935" cy="432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GoBack"/>
      <w:bookmarkEnd w:id="0"/>
    </w:p>
    <w:p>
      <w:pPr>
        <w:pStyle w:val="Normal"/>
        <w:ind w:start="180" w:end="0"/>
        <w:rPr>
          <w:b/>
          <w:color w:val="FF0000"/>
          <w:lang w:val="en-US"/>
        </w:rPr>
      </w:pPr>
      <w:r>
        <w:rPr>
          <w:b/>
          <w:color w:val="FF0000"/>
          <w:lang w:val="en-US"/>
        </w:rPr>
      </w:r>
    </w:p>
    <w:p>
      <w:pPr>
        <w:pStyle w:val="Normal"/>
        <w:rPr>
          <w:rFonts w:ascii="Arial" w:hAnsi="Arial" w:cs="Arial"/>
          <w:b/>
          <w:sz w:val="32"/>
          <w:szCs w:val="32"/>
          <w:lang w:val="bg-BG"/>
        </w:rPr>
      </w:pPr>
      <w:r>
        <w:rPr>
          <w:rFonts w:cs="Arial" w:ascii="Arial" w:hAnsi="Arial"/>
          <w:b/>
          <w:sz w:val="32"/>
          <w:szCs w:val="32"/>
          <w:lang w:val="bg-BG"/>
        </w:rPr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orient="landscape" w:w="16838" w:h="11906"/>
      <w:pgMar w:left="567" w:right="851" w:gutter="0" w:header="993" w:top="1779" w:footer="567" w:bottom="158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43"/>
      <w:gridCol w:w="4678"/>
      <w:gridCol w:w="992"/>
      <w:gridCol w:w="1134"/>
    </w:tblGrid>
    <w:tr>
      <w:trPr>
        <w:cantSplit/>
      </w:trPr>
      <w:tc>
        <w:tcPr>
          <w:tcW w:w="2943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lang w:val="en-US"/>
            </w:rPr>
          </w:pPr>
          <w:r>
            <w:rPr>
              <w:b/>
              <w:sz w:val="28"/>
              <w:szCs w:val="28"/>
            </w:rPr>
            <w:t>„</w:t>
          </w:r>
          <w:r>
            <w:rPr>
              <w:b/>
              <w:sz w:val="28"/>
              <w:szCs w:val="28"/>
              <w:lang w:val="bg-BG"/>
            </w:rPr>
            <w:t>Витоша газ</w:t>
          </w:r>
          <w:r>
            <w:rPr>
              <w:b/>
              <w:sz w:val="28"/>
              <w:szCs w:val="28"/>
            </w:rPr>
            <w:t xml:space="preserve">“  </w:t>
          </w:r>
          <w:r>
            <w:rPr>
              <w:b/>
              <w:sz w:val="28"/>
              <w:szCs w:val="28"/>
              <w:lang w:val="bg-BG"/>
            </w:rPr>
            <w:t>Е</w:t>
          </w:r>
          <w:r>
            <w:rPr>
              <w:b/>
              <w:sz w:val="28"/>
              <w:szCs w:val="28"/>
            </w:rPr>
            <w:t>ООД</w:t>
          </w:r>
        </w:p>
      </w:tc>
      <w:tc>
        <w:tcPr>
          <w:tcW w:w="4678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b/>
              <w:lang w:val="bg-BG"/>
            </w:rPr>
          </w:pPr>
          <w:r>
            <w:rPr>
              <w:b/>
              <w:lang w:val="bg-BG"/>
            </w:rPr>
            <w:t>НАРЪЧНИК НА ИС</w:t>
          </w:r>
        </w:p>
      </w:tc>
      <w:tc>
        <w:tcPr>
          <w:tcW w:w="992" w:type="dxa"/>
          <w:vMerge w:val="restart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end"/>
            <w:rPr>
              <w:lang w:val="bg-BG"/>
            </w:rPr>
          </w:pPr>
          <w:r>
            <w:rPr>
              <w:lang w:val="en-US"/>
            </w:rPr>
            <w:t>Версия</w:t>
          </w:r>
        </w:p>
      </w:tc>
      <w:tc>
        <w:tcPr>
          <w:tcW w:w="1134" w:type="dxa"/>
          <w:vMerge w:val="restart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678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ISO</w:t>
          </w:r>
          <w:r>
            <w:rPr>
              <w:lang w:val="bg-BG"/>
            </w:rPr>
            <w:t xml:space="preserve"> 9001</w:t>
          </w:r>
          <w:r>
            <w:rPr>
              <w:lang w:val="en-US"/>
            </w:rPr>
            <w:t>, ISO 14001</w:t>
          </w:r>
          <w:r>
            <w:rPr>
              <w:lang w:val="bg-BG"/>
            </w:rPr>
            <w:t xml:space="preserve">, </w:t>
          </w:r>
          <w:r>
            <w:rPr>
              <w:lang w:val="en-US"/>
            </w:rPr>
            <w:t xml:space="preserve">ISO </w:t>
          </w:r>
          <w:r>
            <w:rPr>
              <w:lang w:val="bg-BG"/>
            </w:rPr>
            <w:t>45</w:t>
          </w:r>
          <w:r>
            <w:rPr>
              <w:lang w:val="en-US"/>
            </w:rPr>
            <w:t>001</w:t>
          </w:r>
          <w:r>
            <w:rPr>
              <w:lang w:val="bg-BG"/>
            </w:rPr>
            <w:t>,</w:t>
          </w:r>
        </w:p>
      </w:tc>
      <w:tc>
        <w:tcPr>
          <w:tcW w:w="992" w:type="dxa"/>
          <w:vMerge w:val="continue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end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134" w:type="dxa"/>
          <w:vMerge w:val="continue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678" w:type="dxa"/>
          <w:vMerge w:val="restart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Приложение 3</w:t>
          </w:r>
        </w:p>
        <w:p>
          <w:pPr>
            <w:pStyle w:val="Header"/>
            <w:widowControl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ОРГАНИЗАЦИОННА СТРУКТУРА</w:t>
          </w:r>
        </w:p>
      </w:tc>
      <w:tc>
        <w:tcPr>
          <w:tcW w:w="992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end"/>
            <w:rPr>
              <w:lang w:val="bg-BG"/>
            </w:rPr>
          </w:pPr>
          <w:r>
            <w:rPr>
              <w:lang w:val="en-US"/>
            </w:rPr>
            <w:t>Стр.</w:t>
          </w:r>
        </w:p>
      </w:tc>
      <w:tc>
        <w:tcPr>
          <w:tcW w:w="113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en-US"/>
            </w:rPr>
            <w:t>1/1</w:t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b/>
              <w:i/>
              <w:color w:val="008080"/>
              <w:lang w:val="en-US"/>
            </w:rPr>
          </w:pPr>
          <w:r>
            <w:rPr>
              <w:b/>
              <w:i/>
              <w:color w:val="008080"/>
              <w:lang w:val="en-US"/>
            </w:rPr>
          </w:r>
        </w:p>
      </w:tc>
      <w:tc>
        <w:tcPr>
          <w:tcW w:w="4678" w:type="dxa"/>
          <w:vMerge w:val="continue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b/>
              <w:i/>
              <w:color w:val="008080"/>
              <w:lang w:val="bg-BG"/>
            </w:rPr>
          </w:pPr>
          <w:r>
            <w:rPr>
              <w:b/>
              <w:i/>
              <w:color w:val="008080"/>
              <w:lang w:val="bg-BG"/>
            </w:rPr>
          </w:r>
        </w:p>
      </w:tc>
      <w:tc>
        <w:tcPr>
          <w:tcW w:w="992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end"/>
            <w:rPr>
              <w:lang w:val="bg-BG"/>
            </w:rPr>
          </w:pPr>
          <w:r>
            <w:rPr>
              <w:lang w:val="en-US"/>
            </w:rPr>
            <w:t>Дата на и</w:t>
          </w:r>
          <w:r>
            <w:rPr>
              <w:lang w:val="bg-BG"/>
            </w:rPr>
            <w:t>зд</w:t>
          </w:r>
          <w:r>
            <w:rPr>
              <w:lang w:val="en-US"/>
            </w:rPr>
            <w:t>./изм.</w:t>
          </w:r>
        </w:p>
      </w:tc>
      <w:tc>
        <w:tcPr>
          <w:tcW w:w="113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10.10.2018</w:t>
          </w:r>
        </w:p>
      </w:tc>
    </w:tr>
  </w:tbl>
  <w:p>
    <w:pPr>
      <w:pStyle w:val="Header"/>
      <w:widowControl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sz w:val="20"/>
    </w:rPr>
  </w:style>
  <w:style w:type="character" w:styleId="CommentReference">
    <w:name w:val="Comment Reference"/>
    <w:qFormat/>
    <w:rPr>
      <w:sz w:val="16"/>
    </w:rPr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CommentText">
    <w:name w:val="Comment Text"/>
    <w:basedOn w:val="Normal"/>
    <w:qFormat/>
    <w:pPr/>
    <w:rPr/>
  </w:style>
  <w:style w:type="paragraph" w:styleId="BodyText2">
    <w:name w:val="Body Text 2"/>
    <w:basedOn w:val="Normal"/>
    <w:qFormat/>
    <w:pPr>
      <w:widowControl/>
    </w:pPr>
    <w:rPr>
      <w:sz w:val="28"/>
      <w:lang w:val="bg-BG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2013-03-30T13:04:00Z</dcterms:created>
  <dc:creator>МТ</dc:creator>
  <dc:description/>
  <cp:keywords/>
  <dc:language>bg-BG</dc:language>
  <cp:lastModifiedBy>Julia</cp:lastModifiedBy>
  <cp:lastPrinted>2007-06-16T09:59:00Z</cp:lastPrinted>
  <dcterms:modified xsi:type="dcterms:W3CDTF">2019-11-06T18:47:00Z</dcterms:modified>
  <cp:revision>27</cp:revision>
  <dc:subject>Наръчник по качеството</dc:subject>
  <dc:title>Списък на документите на СУК</dc:title>
</cp:coreProperties>
</file>