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both"/>
        <w:rPr>
          <w:b/>
          <w:color w:val="000000"/>
          <w:sz w:val="22"/>
          <w:szCs w:val="21"/>
          <w:lang w:val="bg-BG"/>
        </w:rPr>
      </w:pPr>
      <w:r>
        <w:rPr>
          <w:b/>
          <w:color w:val="000000"/>
          <w:sz w:val="22"/>
          <w:szCs w:val="21"/>
          <w:lang w:val="bg-BG"/>
        </w:rPr>
        <w:t xml:space="preserve">                            </w:t>
      </w:r>
      <w:r>
        <w:rPr>
          <w:b/>
          <w:color w:val="000000"/>
          <w:sz w:val="22"/>
          <w:szCs w:val="21"/>
          <w:lang w:val="bg-BG"/>
        </w:rPr>
        <w:t>ДЕКЛАРАЦИЯ на Ръководството за политика и цели по качеството</w:t>
      </w:r>
    </w:p>
    <w:p>
      <w:pPr>
        <w:pStyle w:val="Normal"/>
        <w:spacing w:before="0" w:after="60"/>
        <w:jc w:val="both"/>
        <w:rPr/>
      </w:pPr>
      <w:r>
        <w:rPr>
          <w:color w:val="000000"/>
          <w:sz w:val="22"/>
          <w:szCs w:val="21"/>
          <w:lang w:val="bg-BG"/>
        </w:rPr>
        <w:t xml:space="preserve">В качеството си на Управител на </w:t>
      </w:r>
      <w:r>
        <w:rPr>
          <w:b/>
          <w:sz w:val="24"/>
          <w:szCs w:val="24"/>
        </w:rPr>
        <w:t>„</w:t>
      </w:r>
      <w:r>
        <w:rPr>
          <w:b/>
          <w:sz w:val="24"/>
          <w:szCs w:val="24"/>
          <w:lang w:val="bg-BG"/>
        </w:rPr>
        <w:t>Витоша газ</w:t>
      </w:r>
      <w:r>
        <w:rPr>
          <w:b/>
          <w:sz w:val="24"/>
          <w:szCs w:val="24"/>
        </w:rPr>
        <w:t xml:space="preserve">“  </w:t>
      </w:r>
      <w:r>
        <w:rPr>
          <w:b/>
          <w:sz w:val="24"/>
          <w:szCs w:val="24"/>
          <w:lang w:val="bg-BG"/>
        </w:rPr>
        <w:t>Е</w:t>
      </w:r>
      <w:r>
        <w:rPr>
          <w:b/>
          <w:sz w:val="24"/>
          <w:szCs w:val="24"/>
        </w:rPr>
        <w:t>ООД</w:t>
      </w:r>
      <w:r>
        <w:rPr>
          <w:color w:val="000000"/>
          <w:sz w:val="22"/>
          <w:szCs w:val="21"/>
          <w:lang w:val="bg-BG"/>
        </w:rPr>
        <w:t xml:space="preserve"> декларирам следните основни принципи, залегнали в политиката, свързана с управление на качеството на процесите: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b/>
          <w:color w:val="000000"/>
          <w:sz w:val="21"/>
          <w:szCs w:val="21"/>
          <w:lang w:val="bg-BG"/>
        </w:rPr>
        <w:t>Ориентиране към клиенти и други заинтересовани страни</w:t>
      </w:r>
      <w:r>
        <w:rPr>
          <w:color w:val="000000"/>
          <w:sz w:val="21"/>
          <w:szCs w:val="21"/>
          <w:lang w:val="bg-BG"/>
        </w:rPr>
        <w:t xml:space="preserve"> – постоянно изучаваме и се информираме за развитието на технологиите свързани с праховото и течно боядисване, емайлирането, обезпрашаването в производствените помещения и обезмасляването на метали, като  се стремим да задоволяваме в максимална степен настоящите и бъдещи потребности на всички свои клиенти, спазвайки действащите законови и нормативни изисквания;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b/>
          <w:color w:val="000000"/>
          <w:sz w:val="21"/>
          <w:szCs w:val="21"/>
          <w:lang w:val="bg-BG"/>
        </w:rPr>
        <w:t>Лидерство на ръководството</w:t>
      </w:r>
      <w:r>
        <w:rPr>
          <w:color w:val="000000"/>
          <w:sz w:val="21"/>
          <w:szCs w:val="21"/>
          <w:lang w:val="bg-BG"/>
        </w:rPr>
        <w:t xml:space="preserve"> – съзнавам отговорността си за поддържането на работеща система за управление. Ангажирам се със създаваме на </w:t>
      </w:r>
      <w:r>
        <w:rPr>
          <w:sz w:val="21"/>
          <w:szCs w:val="21"/>
          <w:lang w:val="bg-BG"/>
        </w:rPr>
        <w:t xml:space="preserve">подходящи условия, стимулиращи служителите на фирмата за пълноценно участие в процесите по управление на качеството, </w:t>
      </w:r>
      <w:r>
        <w:rPr>
          <w:color w:val="000000"/>
          <w:sz w:val="21"/>
          <w:szCs w:val="21"/>
          <w:lang w:val="bg-BG"/>
        </w:rPr>
        <w:t xml:space="preserve">както и </w:t>
      </w:r>
      <w:r>
        <w:rPr>
          <w:sz w:val="21"/>
          <w:szCs w:val="21"/>
          <w:lang w:val="bg-BG"/>
        </w:rPr>
        <w:t>проява на инициатива при изпълнение на дейностите свързани с тях.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Съпричастност на хората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- считам, че най-ценният ресурс на фирмата са хората. Стремя се да създам атмосфера, в която хората са мотивирани, удовлетворени и напълно отдадени на постигането на целите на фирмата.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Фактологичен подход при вземане на решения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– решенията на всички нива във фирмата се основават на актуална и вярна информация. В тази връзка декларирам че комуникациите и управлението на документираната информация, свързана с управлението на процесите ще създават условия за вземане на правилни решения.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Процесен подход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- създаваните от фирмата продукти са резултат от протичането на взаимосвързани основни и допълнителни процеси, които се разглеждат и управляват като система, а не самостоятелно.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iCs/>
          <w:sz w:val="21"/>
          <w:szCs w:val="21"/>
          <w:lang w:val="bg-BG"/>
        </w:rPr>
        <w:t>Взаимно изгодни отношения с доставчиците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– основавайки се на принципа, че за производство на висококачествен продукт трябва да се вложат качествени материали, услуги и оборудване, фирмата избира за свои партньори доставчици, предлагащи високококачетвени доставки. Всички доставчици и подизпълнители се оценяват, относно способността им да отговорят на изискванията относно срок, качество и цена на доставяните продукти или услуги. </w:t>
      </w:r>
    </w:p>
    <w:p>
      <w:pPr>
        <w:pStyle w:val="Bullet1"/>
        <w:numPr>
          <w:ilvl w:val="0"/>
          <w:numId w:val="3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cs="Times New Roman" w:ascii="Times New Roman" w:hAnsi="Times New Roman"/>
          <w:b/>
          <w:sz w:val="21"/>
          <w:szCs w:val="21"/>
          <w:lang w:val="bg-BG"/>
        </w:rPr>
        <w:t>Подобрения за по-високо ниво на качеството</w:t>
      </w:r>
      <w:r>
        <w:rPr>
          <w:rFonts w:cs="Times New Roman" w:ascii="Times New Roman" w:hAnsi="Times New Roman"/>
          <w:sz w:val="21"/>
          <w:szCs w:val="21"/>
          <w:lang w:val="bg-BG"/>
        </w:rPr>
        <w:t xml:space="preserve"> - чрез непрекъснато наблюдение и анализиране на процесите във фирмата и предприемане на ефективни коригиращи мерки и ръководството цели непрекъснато подобрение на качеството на процесите.</w:t>
      </w:r>
    </w:p>
    <w:p>
      <w:pPr>
        <w:pStyle w:val="Normal"/>
        <w:spacing w:lineRule="exact" w:line="240"/>
        <w:jc w:val="both"/>
        <w:rPr>
          <w:rFonts w:ascii="Times New Roman" w:hAnsi="Times New Roman" w:cs="Times New Roman"/>
          <w:color w:val="000000"/>
          <w:sz w:val="21"/>
          <w:szCs w:val="21"/>
          <w:lang w:val="bg-BG"/>
        </w:rPr>
      </w:pPr>
      <w:r>
        <w:rPr>
          <w:rFonts w:cs="Times New Roman"/>
          <w:color w:val="000000"/>
          <w:sz w:val="21"/>
          <w:szCs w:val="21"/>
          <w:lang w:val="bg-BG"/>
        </w:rPr>
      </w:r>
    </w:p>
    <w:p>
      <w:pPr>
        <w:pStyle w:val="Normal"/>
        <w:spacing w:before="0" w:after="60"/>
        <w:jc w:val="both"/>
        <w:rPr/>
      </w:pPr>
      <w:r>
        <w:rPr>
          <w:color w:val="000000"/>
          <w:sz w:val="22"/>
          <w:szCs w:val="21"/>
          <w:lang w:val="bg-BG"/>
        </w:rPr>
        <w:t xml:space="preserve">За постигане на основната си цел - </w:t>
      </w:r>
      <w:r>
        <w:rPr>
          <w:b/>
          <w:color w:val="000000"/>
          <w:sz w:val="22"/>
          <w:szCs w:val="21"/>
          <w:lang w:val="bg-BG"/>
        </w:rPr>
        <w:t>производството и реализацията на продукти с високо качество, които в максимална степен удовлетворяват изискванията на нашите клиенти</w:t>
      </w:r>
      <w:r>
        <w:rPr>
          <w:color w:val="000000"/>
          <w:sz w:val="22"/>
          <w:szCs w:val="21"/>
          <w:lang w:val="bg-BG"/>
        </w:rPr>
        <w:t xml:space="preserve"> – ръководството на фирмата си поставя следните цели: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 xml:space="preserve">Увеличаване общия обем на приходите от продажби с 15%; 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Намаляване на рекламациите с 10%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Въвеждане на пазара на нови продукти, отговарящи на европейските изисквания за качество;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Извършване на технологични и технически подобрения на съществуващите продукти;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Въвеждане на нови технологии и оборудване – подмяна на машините в участък „стругови и фрезови операции;</w:t>
      </w:r>
    </w:p>
    <w:p>
      <w:pPr>
        <w:pStyle w:val="Normal"/>
        <w:widowControl/>
        <w:numPr>
          <w:ilvl w:val="0"/>
          <w:numId w:val="7"/>
        </w:numPr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  <w:t>Развитие на човешките ресурси чрез повишаване на мотивацията и компетентността на персонала – организиране и провеждане на вътрешни и външни обучения;</w:t>
      </w:r>
    </w:p>
    <w:p>
      <w:pPr>
        <w:pStyle w:val="Normal"/>
        <w:widowControl/>
        <w:spacing w:lineRule="exact" w:line="240"/>
        <w:jc w:val="both"/>
        <w:rPr>
          <w:sz w:val="21"/>
          <w:szCs w:val="21"/>
          <w:lang w:val="bg-BG"/>
        </w:rPr>
      </w:pPr>
      <w:r>
        <w:rPr>
          <w:sz w:val="21"/>
          <w:szCs w:val="21"/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color w:val="000000"/>
          <w:sz w:val="22"/>
          <w:szCs w:val="21"/>
          <w:lang w:val="bg-BG"/>
        </w:rPr>
        <w:t xml:space="preserve">Като Управител на </w:t>
      </w:r>
      <w:r>
        <w:rPr>
          <w:b/>
          <w:sz w:val="24"/>
          <w:szCs w:val="24"/>
        </w:rPr>
        <w:t>„</w:t>
      </w:r>
      <w:r>
        <w:rPr>
          <w:sz w:val="24"/>
          <w:szCs w:val="24"/>
          <w:lang w:val="bg-BG"/>
        </w:rPr>
        <w:t>Витоша газ</w:t>
      </w:r>
      <w:r>
        <w:rPr>
          <w:sz w:val="24"/>
          <w:szCs w:val="24"/>
        </w:rPr>
        <w:t xml:space="preserve">“  </w:t>
      </w:r>
      <w:r>
        <w:rPr>
          <w:sz w:val="24"/>
          <w:szCs w:val="24"/>
          <w:lang w:val="bg-BG"/>
        </w:rPr>
        <w:t>Е</w:t>
      </w:r>
      <w:r>
        <w:rPr>
          <w:sz w:val="24"/>
          <w:szCs w:val="24"/>
        </w:rPr>
        <w:t>ООД</w:t>
      </w:r>
      <w:r>
        <w:rPr>
          <w:color w:val="000000"/>
          <w:sz w:val="22"/>
          <w:szCs w:val="21"/>
          <w:lang w:val="bg-BG"/>
        </w:rPr>
        <w:t xml:space="preserve"> гарантирам, че: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  <w:t>организацията разполага с нужните ресурси за изграждане, поддържане и развитие на Система за управление на качеството;</w:t>
      </w:r>
    </w:p>
    <w:p>
      <w:pPr>
        <w:pStyle w:val="Normal"/>
        <w:widowControl/>
        <w:numPr>
          <w:ilvl w:val="0"/>
          <w:numId w:val="6"/>
        </w:numPr>
        <w:tabs>
          <w:tab w:val="clear" w:pos="720"/>
          <w:tab w:val="left" w:pos="709" w:leader="none"/>
        </w:tabs>
        <w:spacing w:lineRule="exact" w:line="240"/>
        <w:ind w:hanging="283" w:start="709" w:end="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  <w:t>полага грижи въведената система да функционира ефикасно и в съответствие с изискванията на стандарт ISO 9001:2015.</w:t>
      </w:r>
    </w:p>
    <w:p>
      <w:pPr>
        <w:pStyle w:val="Normal"/>
        <w:widowControl/>
        <w:spacing w:lineRule="exact" w:line="24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</w:r>
    </w:p>
    <w:p>
      <w:pPr>
        <w:pStyle w:val="Normal"/>
        <w:widowControl/>
        <w:spacing w:lineRule="exact" w:line="240"/>
        <w:jc w:val="both"/>
        <w:rPr>
          <w:color w:val="000000"/>
          <w:sz w:val="21"/>
          <w:szCs w:val="21"/>
          <w:lang w:val="bg-BG"/>
        </w:rPr>
      </w:pPr>
      <w:r>
        <w:rPr>
          <w:color w:val="000000"/>
          <w:sz w:val="21"/>
          <w:szCs w:val="21"/>
          <w:lang w:val="bg-BG"/>
        </w:rPr>
      </w:r>
    </w:p>
    <w:tbl>
      <w:tblPr>
        <w:tblW w:w="960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3"/>
        <w:gridCol w:w="6663"/>
      </w:tblGrid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pacing w:lineRule="exact" w:line="240"/>
              <w:jc w:val="both"/>
              <w:rPr>
                <w:sz w:val="22"/>
                <w:szCs w:val="21"/>
                <w:lang w:val="bg-BG"/>
              </w:rPr>
            </w:pPr>
            <w:r>
              <w:rPr>
                <w:lang w:val="bg-BG"/>
              </w:rPr>
              <w:t>07.11.2019</w:t>
            </w:r>
          </w:p>
        </w:tc>
        <w:tc>
          <w:tcPr>
            <w:tcW w:w="6663" w:type="dxa"/>
            <w:tcBorders/>
          </w:tcPr>
          <w:p>
            <w:pPr>
              <w:pStyle w:val="Normal"/>
              <w:widowControl/>
              <w:spacing w:lineRule="exact" w:line="240"/>
              <w:jc w:val="both"/>
              <w:rPr>
                <w:color w:val="000000"/>
                <w:sz w:val="22"/>
                <w:szCs w:val="21"/>
                <w:lang w:val="bg-BG"/>
              </w:rPr>
            </w:pPr>
            <w:r>
              <w:rPr>
                <w:color w:val="000000"/>
                <w:sz w:val="22"/>
                <w:szCs w:val="21"/>
                <w:lang w:val="bg-BG"/>
              </w:rPr>
              <w:t xml:space="preserve">                                                             </w:t>
            </w:r>
            <w:r>
              <w:rPr>
                <w:color w:val="000000"/>
                <w:sz w:val="22"/>
                <w:szCs w:val="21"/>
                <w:lang w:val="bg-BG"/>
              </w:rPr>
              <w:t>Управител: ………………..</w:t>
            </w:r>
          </w:p>
        </w:tc>
      </w:tr>
      <w:tr>
        <w:trPr/>
        <w:tc>
          <w:tcPr>
            <w:tcW w:w="2943" w:type="dxa"/>
            <w:tcBorders/>
          </w:tcPr>
          <w:p>
            <w:pPr>
              <w:pStyle w:val="Normal"/>
              <w:widowControl/>
              <w:snapToGrid w:val="false"/>
              <w:spacing w:lineRule="exact" w:line="240"/>
              <w:jc w:val="both"/>
              <w:rPr>
                <w:color w:val="000000"/>
                <w:sz w:val="22"/>
                <w:szCs w:val="21"/>
                <w:lang w:val="bg-BG"/>
              </w:rPr>
            </w:pPr>
            <w:r>
              <w:rPr>
                <w:color w:val="000000"/>
                <w:sz w:val="22"/>
                <w:szCs w:val="21"/>
                <w:lang w:val="bg-BG"/>
              </w:rPr>
            </w:r>
          </w:p>
        </w:tc>
        <w:tc>
          <w:tcPr>
            <w:tcW w:w="6663" w:type="dxa"/>
            <w:tcBorders/>
          </w:tcPr>
          <w:p>
            <w:pPr>
              <w:pStyle w:val="Normal"/>
              <w:widowControl/>
              <w:spacing w:lineRule="exact" w:line="240"/>
              <w:ind w:start="4287" w:end="0"/>
              <w:jc w:val="both"/>
              <w:rPr>
                <w:color w:val="000000"/>
                <w:sz w:val="22"/>
                <w:szCs w:val="21"/>
                <w:lang w:val="bg-BG"/>
              </w:rPr>
            </w:pPr>
            <w:r>
              <w:rPr>
                <w:color w:val="000000"/>
                <w:sz w:val="22"/>
                <w:szCs w:val="21"/>
                <w:lang w:val="bg-BG"/>
              </w:rPr>
              <w:t xml:space="preserve">  </w:t>
            </w:r>
          </w:p>
        </w:tc>
      </w:tr>
    </w:tbl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lang w:val="bg-BG"/>
        </w:rPr>
        <w:tab/>
      </w:r>
    </w:p>
    <w:p>
      <w:pPr>
        <w:pStyle w:val="Normal"/>
        <w:widowControl/>
        <w:spacing w:lineRule="exact" w:line="240"/>
        <w:jc w:val="both"/>
        <w:rPr/>
      </w:pPr>
      <w:r>
        <w:rPr>
          <w:b/>
          <w:lang w:val="bg-BG"/>
        </w:rPr>
        <w:t xml:space="preserve">                              </w:t>
      </w:r>
      <w:r>
        <w:rPr>
          <w:b/>
          <w:lang w:val="bg-BG"/>
        </w:rPr>
        <w:t>ДЕКЛАРАЦИЯ на Ръководството за политика и цели по УОС</w:t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>Нашата основна цел е да създадем такова управление на процесите и организация на работата във фирмата, чрез които да се гарантира опазването на околната среда.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Като поема своята отговорност в управлението на околната среда, ръководството декларира следните  основни принципи, залегнали в политиката по УОС: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Съответствие с предмета на дейност и въздействията върху околната среда - Съзнаваме отговорността си и се стремим да осигуряваме в максимална степен точно идентифициране на аспектите на околната среда и възможните рискове, произтичащи от дейността;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Непрекъснато подобряване на дейността по опазване на околната среда и предотвратяване на замърсяването чрез непрекъснато наблюдение на протичането на процесите, намаляване на риска от замърсявания, както и ефективно и ефикасно подобряване на резултатността по отношение на УОС</w:t>
      </w:r>
    </w:p>
    <w:p>
      <w:pPr>
        <w:pStyle w:val="Normal"/>
        <w:widowControl/>
        <w:numPr>
          <w:ilvl w:val="0"/>
          <w:numId w:val="8"/>
        </w:numPr>
        <w:spacing w:lineRule="exact" w:line="240"/>
        <w:jc w:val="both"/>
        <w:rPr>
          <w:lang w:val="bg-BG"/>
        </w:rPr>
      </w:pPr>
      <w:r>
        <w:rPr>
          <w:lang w:val="bg-BG"/>
        </w:rPr>
        <w:t xml:space="preserve">Спазване на действащото законодателство – </w:t>
      </w:r>
      <w:r>
        <w:rPr>
          <w:sz w:val="24"/>
          <w:szCs w:val="24"/>
        </w:rPr>
        <w:t>„Витоша газ“  ЕООД</w:t>
      </w:r>
      <w:r>
        <w:rPr>
          <w:b/>
          <w:sz w:val="24"/>
          <w:szCs w:val="24"/>
        </w:rPr>
        <w:t xml:space="preserve"> </w:t>
      </w:r>
      <w:r>
        <w:rPr>
          <w:lang w:val="bg-BG"/>
        </w:rPr>
        <w:t>се задължава да прилага действащата нормативна база както и други, доброволно приети или поставени от клиенти изисквания по отношение на околната среда;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Документиране, въвеждане и поддържане – ръководството се задължава да осигури документиране, внедряване и поддържане на вътрешни правила свързани с опазване на околната среда;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Огласяване и съпричастност на хората – Тази политика по опазване на околната среда и свързаните с нея цели и е на разположение на всички сътрудници. Като Управител са ангажирам да създам условия за пълноценно участие и проява на инициатива при изпълнение на дейностите, свързани с опазване на околната среда. 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Достъпност на политиката – политиката е достъпна до всеки служител, както и до всички външни заинтересовани лица и обществеността, като по всяко време и при поискване тя ще бъде предоставяна за запознаване;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Процесен, системен и фактологичен подход - създаваните от фирмата правила за работа са резултат от протичането на взаимосвързани основни и допълнителни процеси, които се разглеждат и управляват като система, а не самостоятелно. Решенията и действията са основани на обективни данни и факти.</w:t>
      </w:r>
    </w:p>
    <w:p>
      <w:pPr>
        <w:pStyle w:val="Normal"/>
        <w:widowControl/>
        <w:numPr>
          <w:ilvl w:val="0"/>
          <w:numId w:val="2"/>
        </w:numPr>
        <w:spacing w:lineRule="exact" w:line="240"/>
        <w:jc w:val="both"/>
        <w:rPr>
          <w:lang w:val="bg-BG"/>
        </w:rPr>
      </w:pPr>
      <w:r>
        <w:rPr>
          <w:lang w:val="bg-BG"/>
        </w:rPr>
        <w:t xml:space="preserve">Ръководството на фирмата се ангажира да постига високо качество на своите продукти и услуги, но не на всяка цена, а само при стриктно спазване на всички нормативни и други изисквания по опазването на околната среда и при гарантирано предпазване от замърсяване.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>Ръководството се ангажира със следните цели: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Намаляване потреблението на природни ресурси – вода и електричество с 5% годишно;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Намаляване обема на генерираните твърди отпадъци чрез въвеждане на нови технологии и мониторинг на отпадъците;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Мотивиране и обучение на персонала във връзка със УОС; 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Модернизиране на методите за събиране, съхранение и транспорт на отпадъци чрез въвеждане на система за разделно събиране на отпадъците.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>Като управител на „Витоша газ“  ЕООД, че: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организацията разполага с нужните ресурси за изграждане, поддържане и развитие на Система за управление на УОС;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се задължава да полага грижи въведената Система за управление на околната среда да функционира в съответствие с изискванията на ISO 14001:2015.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>07.11.2019                                                                                    Управител: .........................................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ab/>
        <w:tab/>
        <w:tab/>
        <w:tab/>
        <w:tab/>
        <w:tab/>
        <w:tab/>
        <w:tab/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b/>
          <w:lang w:val="bg-BG"/>
        </w:rPr>
        <w:t>ДЕКЛАРАЦИЯ на Ръководството за политика и цели по гарантиране на здравето и безопасността при работа</w:t>
      </w:r>
    </w:p>
    <w:p>
      <w:pPr>
        <w:pStyle w:val="Normal"/>
        <w:widowControl/>
        <w:spacing w:lineRule="exact" w:line="240"/>
        <w:jc w:val="both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>Нашата основна цел е да създадем такова управление на процесите и организация на работата във фирмата, чрез които да се гарантира опазване на здравето и гарантиране на безопасността при работа за всички работници във „Витоша газ“  ЕООД.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Като Управител декларирам следните  основни принципи, залегнали в политиката по ЗБР: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Съзнаваме отговорността си и се стремим да осигуряваме в максимална степен точно идентифициране на рисковете за здравето и безопасността при работа, произтичащи от всички дейности на фирмата;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Непрекъснато подобряване на дейността по опазване на здравето и безопасността при работа и недопускане на наранявания и условия увреждащи здравето на работещите.</w:t>
      </w:r>
    </w:p>
    <w:p>
      <w:pPr>
        <w:pStyle w:val="Normal"/>
        <w:widowControl/>
        <w:numPr>
          <w:ilvl w:val="0"/>
          <w:numId w:val="8"/>
        </w:numPr>
        <w:spacing w:lineRule="exact" w:line="240"/>
        <w:jc w:val="both"/>
        <w:rPr>
          <w:lang w:val="bg-BG"/>
        </w:rPr>
      </w:pPr>
      <w:r>
        <w:rPr>
          <w:lang w:val="bg-BG"/>
        </w:rPr>
        <w:t>Спазване на действащото законодателство – „Витоша газ“  ЕООД се задължава да прилага действащата нормативна база както и други, доброволно приети или поставени от клиенти изисквания по отношение на ЗБР;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Документиране, въвеждане и поддържане – ръководството се задължава да осигури документиране, внедряване и поддържане на вътрешни правила свързани с управлението на дейностите по ЗБР;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Огласяване и съпричастност на хората – Тази политика по ЗБР и свързаните с нея цели е на разположение на всички сътрудници. Като Управител са ангажирам да създам условия за пълноценно участие и проява на инициатива при изпълнение на дейностите, свързани с безопасността и здравето при работа. 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Достъпност на политиката – политиката е достъпна до всеки служител, както и до всички външни заинтересовани лица и обществеността, като по всяко време и при поискване тя ще бъде предоставяна за запознаване;</w:t>
      </w:r>
    </w:p>
    <w:p>
      <w:pPr>
        <w:pStyle w:val="Normal"/>
        <w:widowControl/>
        <w:numPr>
          <w:ilvl w:val="1"/>
          <w:numId w:val="8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Процесен, системен и фактологичен подход - създаваните от фирмата правила за работа са резултат от протичането на взаимосвързани основни и допълнителни процеси, които се разглеждат и управляват като система, а не самостоятелно. Решенията и действията са основани на обективни данни и факти.</w:t>
      </w:r>
    </w:p>
    <w:p>
      <w:pPr>
        <w:pStyle w:val="Normal"/>
        <w:widowControl/>
        <w:numPr>
          <w:ilvl w:val="0"/>
          <w:numId w:val="2"/>
        </w:numPr>
        <w:spacing w:lineRule="exact" w:line="240"/>
        <w:jc w:val="both"/>
        <w:rPr>
          <w:lang w:val="bg-BG"/>
        </w:rPr>
      </w:pPr>
      <w:r>
        <w:rPr>
          <w:lang w:val="bg-BG"/>
        </w:rPr>
        <w:t xml:space="preserve">Ръководството на фирмата се ангажира да постига високо качество на своите продукти и услуги, но не на всяка цена, а само при стриктно спазване на всички нормативни и други изисквания по опазването на здравето и безопасността при работа и недопускане на наранявания.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>Ръководството се ангажира със следните цели: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Подобряване на санитарно-битовите условия за работниците;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Намаляване на вредното въздействие на факторите на работната среда чрез подмяна на оборудване;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Мотивиране и обучение на персонала във връзка със ЗБР; </w:t>
      </w:r>
    </w:p>
    <w:p>
      <w:pPr>
        <w:pStyle w:val="Normal"/>
        <w:widowControl/>
        <w:numPr>
          <w:ilvl w:val="0"/>
          <w:numId w:val="5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 xml:space="preserve">Недопускане на трудови злополуки и намаляване на инцидентите до  „0“  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 xml:space="preserve">Като управител на </w:t>
      </w:r>
      <w:r>
        <w:rPr/>
        <w:t>„</w:t>
      </w:r>
      <w:r>
        <w:rPr>
          <w:lang w:val="bg-BG"/>
        </w:rPr>
        <w:t>Витоша газ</w:t>
      </w:r>
      <w:r>
        <w:rPr/>
        <w:t xml:space="preserve">“  </w:t>
      </w:r>
      <w:r>
        <w:rPr>
          <w:lang w:val="bg-BG"/>
        </w:rPr>
        <w:t>Е</w:t>
      </w:r>
      <w:r>
        <w:rPr/>
        <w:t>ООД</w:t>
      </w:r>
      <w:r>
        <w:rPr>
          <w:lang w:val="bg-BG"/>
        </w:rPr>
        <w:t>, че: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организацията разполага с нужните ресурси за изграждане, поддържане и развитие на Система за управление на ЗБР;</w:t>
      </w:r>
    </w:p>
    <w:p>
      <w:pPr>
        <w:pStyle w:val="Normal"/>
        <w:widowControl/>
        <w:numPr>
          <w:ilvl w:val="0"/>
          <w:numId w:val="4"/>
        </w:numPr>
        <w:spacing w:lineRule="exact" w:line="240"/>
        <w:ind w:hanging="360" w:start="709" w:end="0"/>
        <w:jc w:val="both"/>
        <w:rPr>
          <w:lang w:val="bg-BG"/>
        </w:rPr>
      </w:pPr>
      <w:r>
        <w:rPr>
          <w:lang w:val="bg-BG"/>
        </w:rPr>
        <w:t>се задължава да полага грижи въведената Система за управление на здравословни и безопасни условия на труд в съответствие с изискванията на ISO 45001:2018.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/>
      </w:pPr>
      <w:r>
        <w:rPr>
          <w:lang w:val="bg-BG"/>
        </w:rPr>
        <w:t>07.11.2019                                                                                    Управител: .........................................</w:t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  <w:tab/>
        <w:tab/>
        <w:tab/>
        <w:tab/>
        <w:tab/>
        <w:tab/>
        <w:tab/>
        <w:tab/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p>
      <w:pPr>
        <w:pStyle w:val="Normal"/>
        <w:widowControl/>
        <w:spacing w:lineRule="exact" w:line="240"/>
        <w:jc w:val="both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type w:val="nextPage"/>
      <w:pgSz w:w="11906" w:h="16838"/>
      <w:pgMar w:left="1418" w:right="850" w:gutter="0" w:header="851" w:top="1168" w:footer="0" w:bottom="28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Eagle Software">
    <w:altName w:val="Arial"/>
    <w:charset w:val="cc" w:characterSet="windows-1251"/>
    <w:family w:val="swiss"/>
    <w:pitch w:val="default"/>
  </w:font>
  <w:font w:name="Futura Bk">
    <w:altName w:val="Century Gothic"/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0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7763"/>
      <w:gridCol w:w="970"/>
      <w:gridCol w:w="873"/>
    </w:tblGrid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en-US"/>
            </w:rPr>
            <w:t>Версия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776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1</w:t>
          </w:r>
        </w:p>
        <w:p>
          <w:pPr>
            <w:pStyle w:val="BodyText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 xml:space="preserve"> </w:t>
          </w:r>
          <w:r>
            <w:rPr>
              <w:b/>
              <w:i w:val="false"/>
              <w:sz w:val="20"/>
            </w:rPr>
            <w:t xml:space="preserve">ДЕКЛАРАЦИЯ НА РЪКОВОДСТВОТО </w:t>
          </w:r>
        </w:p>
      </w:tc>
      <w:tc>
        <w:tcPr>
          <w:tcW w:w="970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873" w:type="dxa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lang w:val="en-US"/>
      </w:rPr>
    </w:pPr>
    <w:r>
      <w:rPr>
        <w:lang w:val="en-U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4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43"/>
      <w:gridCol w:w="4536"/>
      <w:gridCol w:w="993"/>
      <w:gridCol w:w="1275"/>
    </w:tblGrid>
    <w:tr>
      <w:trPr>
        <w:cantSplit/>
      </w:trPr>
      <w:tc>
        <w:tcPr>
          <w:tcW w:w="2943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4536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b/>
            </w:rPr>
          </w:pPr>
          <w:r>
            <w:rPr>
              <w:b/>
            </w:rPr>
            <w:t>НАРЪЧНИК</w:t>
          </w:r>
        </w:p>
        <w:p>
          <w:pPr>
            <w:pStyle w:val="Normal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на</w:t>
          </w:r>
          <w:r>
            <w:rPr>
              <w:b/>
            </w:rPr>
            <w:t xml:space="preserve"> </w:t>
          </w:r>
          <w:r>
            <w:rPr>
              <w:b/>
              <w:lang w:val="bg-BG"/>
            </w:rPr>
            <w:t>Интегрирана система за управление</w:t>
          </w:r>
        </w:p>
      </w:tc>
      <w:tc>
        <w:tcPr>
          <w:tcW w:w="993" w:type="dxa"/>
          <w:vMerge w:val="restart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end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275" w:type="dxa"/>
          <w:vMerge w:val="restart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</w:t>
          </w:r>
          <w:r>
            <w:rPr>
              <w:lang w:val="en-US"/>
            </w:rPr>
            <w:t>1</w:t>
          </w:r>
        </w:p>
      </w:tc>
    </w:tr>
    <w:tr>
      <w:trPr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en-US"/>
            </w:rPr>
          </w:pPr>
          <w:r>
            <w:rPr>
              <w:lang w:val="en-US"/>
            </w:rPr>
          </w:r>
        </w:p>
      </w:tc>
      <w:tc>
        <w:tcPr>
          <w:tcW w:w="4536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Normal"/>
            <w:jc w:val="center"/>
            <w:rPr>
              <w:lang w:val="en-US"/>
            </w:rPr>
          </w:pPr>
          <w:r>
            <w:rPr/>
            <w:t>ISO 9001, ISO 14001</w:t>
          </w:r>
          <w:r>
            <w:rPr>
              <w:lang w:val="bg-BG"/>
            </w:rPr>
            <w:t xml:space="preserve">, </w:t>
          </w:r>
          <w:r>
            <w:rPr>
              <w:lang w:val="en-US"/>
            </w:rPr>
            <w:t>ISO 45001</w:t>
          </w:r>
        </w:p>
      </w:tc>
      <w:tc>
        <w:tcPr>
          <w:tcW w:w="993" w:type="dxa"/>
          <w:vMerge w:val="continue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end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75" w:type="dxa"/>
          <w:vMerge w:val="continue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4536" w:type="dxa"/>
          <w:vMerge w:val="restart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Раздел 1</w:t>
          </w:r>
        </w:p>
        <w:p>
          <w:pPr>
            <w:pStyle w:val="Header"/>
            <w:widowControl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ДЕКЛАРАЦИЯ НА РЪКОВОДСТВОТО</w:t>
          </w:r>
        </w:p>
      </w:tc>
      <w:tc>
        <w:tcPr>
          <w:tcW w:w="993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5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en-US"/>
            </w:rPr>
            <w:t>1/2</w:t>
          </w:r>
        </w:p>
      </w:tc>
    </w:tr>
    <w:tr>
      <w:trPr>
        <w:trHeight w:val="465" w:hRule="atLeast"/>
        <w:cantSplit/>
      </w:trPr>
      <w:tc>
        <w:tcPr>
          <w:tcW w:w="2943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en-US"/>
            </w:rPr>
          </w:pPr>
          <w:r>
            <w:rPr>
              <w:b/>
              <w:i/>
              <w:color w:val="008080"/>
              <w:lang w:val="en-US"/>
            </w:rPr>
          </w:r>
        </w:p>
      </w:tc>
      <w:tc>
        <w:tcPr>
          <w:tcW w:w="4536" w:type="dxa"/>
          <w:vMerge w:val="continue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snapToGrid w:val="false"/>
            <w:jc w:val="center"/>
            <w:rPr>
              <w:b/>
              <w:i/>
              <w:color w:val="008080"/>
              <w:lang w:val="bg-BG"/>
            </w:rPr>
          </w:pPr>
          <w:r>
            <w:rPr>
              <w:b/>
              <w:i/>
              <w:color w:val="008080"/>
              <w:lang w:val="bg-BG"/>
            </w:rPr>
          </w:r>
        </w:p>
      </w:tc>
      <w:tc>
        <w:tcPr>
          <w:tcW w:w="993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widowControl/>
            <w:jc w:val="end"/>
            <w:rPr>
              <w:lang w:val="bg-BG"/>
            </w:rPr>
          </w:pPr>
          <w:r>
            <w:rPr>
              <w:lang w:val="bg-BG"/>
            </w:rPr>
            <w:t>Дата на изд./изм.</w:t>
          </w:r>
        </w:p>
      </w:tc>
      <w:tc>
        <w:tcPr>
          <w:tcW w:w="1275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>
              <w:lang w:val="en-US"/>
            </w:rPr>
          </w:pPr>
          <w:r>
            <w:rPr>
              <w:lang w:val="bg-BG"/>
            </w:rPr>
            <w:t>07.11.2019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40" w:hanging="340"/>
      </w:pPr>
      <w:rPr>
        <w:rFonts w:ascii="Symbol" w:hAnsi="Symbol" w:cs="Symbol" w:hint="default"/>
        <w:spacing w:val="0"/>
        <w:kern w:val="2"/>
        <w:position w:val="0"/>
        <w:sz w:val="24"/>
        <w:vertAlign w:val="baseline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360"/>
        </w:tabs>
        <w:ind w:start="357" w:hanging="357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color w:val="FF0000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  <w:spacing w:val="0"/>
      <w:kern w:val="2"/>
      <w:position w:val="0"/>
      <w:sz w:val="24"/>
      <w:vertAlign w:val="baseline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Symbol" w:hAnsi="Symbol" w:cs="Symbol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5z4">
    <w:name w:val="WW8Num25z4"/>
    <w:qFormat/>
    <w:rPr>
      <w:rFonts w:ascii="Courier New" w:hAnsi="Courier New" w:cs="Courier New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9z0">
    <w:name w:val="WW8Num29z0"/>
    <w:qFormat/>
    <w:rPr/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2z0">
    <w:name w:val="WW8Num32z0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Times New Roman" w:hAnsi="Times New Roman" w:eastAsia="Times New Roman" w:cs="Times New Roman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4">
    <w:name w:val="WW8Num33z4"/>
    <w:qFormat/>
    <w:rPr>
      <w:rFonts w:ascii="Courier New" w:hAnsi="Courier New" w:cs="Courier New"/>
    </w:rPr>
  </w:style>
  <w:style w:type="character" w:styleId="WW8Num34z0">
    <w:name w:val="WW8Num34z0"/>
    <w:qFormat/>
    <w:rPr>
      <w:rFonts w:ascii="Symbol" w:hAnsi="Symbol" w:cs="Symbol"/>
    </w:rPr>
  </w:style>
  <w:style w:type="character" w:styleId="WW8Num34z1">
    <w:name w:val="WW8Num34z1"/>
    <w:qFormat/>
    <w:rPr>
      <w:rFonts w:ascii="Courier New" w:hAnsi="Courier New" w:cs="Courier New"/>
    </w:rPr>
  </w:style>
  <w:style w:type="character" w:styleId="WW8Num34z2">
    <w:name w:val="WW8Num34z2"/>
    <w:qFormat/>
    <w:rPr>
      <w:rFonts w:ascii="Wingdings" w:hAnsi="Wingdings" w:cs="Wingdings"/>
    </w:rPr>
  </w:style>
  <w:style w:type="character" w:styleId="WW8Num35z0">
    <w:name w:val="WW8Num35z0"/>
    <w:qFormat/>
    <w:rPr>
      <w:rFonts w:ascii="Symbol" w:hAnsi="Symbol" w:cs="Symbol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4">
    <w:name w:val="WW8Num35z4"/>
    <w:qFormat/>
    <w:rPr>
      <w:rFonts w:ascii="Courier New" w:hAnsi="Courier New" w:cs="Courier New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7z0">
    <w:name w:val="WW8Num37z0"/>
    <w:qFormat/>
    <w:rPr>
      <w:rFonts w:ascii="Symbol" w:hAnsi="Symbol" w:eastAsia="Times New Roman" w:cs="Times New Roman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7z3">
    <w:name w:val="WW8Num37z3"/>
    <w:qFormat/>
    <w:rPr>
      <w:rFonts w:ascii="Symbol" w:hAnsi="Symbol" w:cs="Symbol"/>
    </w:rPr>
  </w:style>
  <w:style w:type="character" w:styleId="WW8Num38z0">
    <w:name w:val="WW8Num38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sz w:val="20"/>
    </w:rPr>
  </w:style>
  <w:style w:type="character" w:styleId="CommentReference">
    <w:name w:val="Comment Reference"/>
    <w:qFormat/>
    <w:rPr>
      <w:sz w:val="16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GB"/>
    </w:rPr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i/>
      <w:iCs/>
      <w:sz w:val="28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CommentText">
    <w:name w:val="Comment Text"/>
    <w:basedOn w:val="Normal"/>
    <w:qFormat/>
    <w:pPr/>
    <w:rPr/>
  </w:style>
  <w:style w:type="paragraph" w:styleId="Bullet1">
    <w:name w:val="Bullet 1"/>
    <w:qFormat/>
    <w:pPr>
      <w:widowControl w:val="false"/>
      <w:bidi w:val="0"/>
      <w:ind w:hanging="0" w:start="576" w:end="0"/>
    </w:pPr>
    <w:rPr>
      <w:rFonts w:ascii="Eagle Software;Arial" w:hAnsi="Eagle Software;Arial" w:eastAsia="Times New Roman" w:cs="Eagle Software;Arial"/>
      <w:color w:val="000000"/>
      <w:sz w:val="24"/>
      <w:szCs w:val="20"/>
      <w:lang w:val="en-AU" w:bidi="ar-SA" w:eastAsia="zh-CN"/>
    </w:rPr>
  </w:style>
  <w:style w:type="paragraph" w:styleId="Char">
    <w:name w:val=" Char"/>
    <w:basedOn w:val="Normal"/>
    <w:qFormat/>
    <w:pPr>
      <w:widowControl/>
      <w:tabs>
        <w:tab w:val="clear" w:pos="720"/>
        <w:tab w:val="left" w:pos="709" w:leader="none"/>
      </w:tabs>
    </w:pPr>
    <w:rPr>
      <w:rFonts w:ascii="Futura Bk;Century Gothic" w:hAnsi="Futura Bk;Century Gothic" w:cs="Futura Bk;Century Gothic"/>
      <w:szCs w:val="24"/>
      <w:lang w:val="pl-PL" w:eastAsia="bg-BG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2014-10-27T14:20:00Z</dcterms:created>
  <dc:creator>MT</dc:creator>
  <dc:description/>
  <cp:keywords/>
  <dc:language>bg-BG</dc:language>
  <cp:lastModifiedBy>Julia</cp:lastModifiedBy>
  <cp:lastPrinted>2014-11-27T09:26:00Z</cp:lastPrinted>
  <dcterms:modified xsi:type="dcterms:W3CDTF">2019-11-06T18:59:00Z</dcterms:modified>
  <cp:revision>52</cp:revision>
  <dc:subject>Наръчник по качеството</dc:subject>
  <dc:title>Декларация на ръководството за политика и цели</dc:title>
</cp:coreProperties>
</file>