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sz w:val="24"/>
          <w:lang w:val="bg-BG"/>
        </w:rPr>
        <w:t xml:space="preserve">В Наръчника на интегрираната система и в процедурите се използват: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термини, определени от ISO 9000:2015; ISO 14001:2015</w:t>
      </w:r>
      <w:r>
        <w:rPr>
          <w:sz w:val="24"/>
          <w:lang w:val="en-US"/>
        </w:rPr>
        <w:t>; ISO 45001:2018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0" w:start="0" w:end="0"/>
        <w:jc w:val="both"/>
        <w:rPr>
          <w:sz w:val="24"/>
          <w:lang w:val="bg-BG"/>
        </w:rPr>
      </w:pPr>
      <w:r>
        <w:rPr>
          <w:sz w:val="24"/>
          <w:lang w:val="bg-BG"/>
        </w:rPr>
        <w:t>характерни за практиката на фирмата специфични термини.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Посочените термини трябва да спомогнат за усвояване и разпространение във фирмата на еднородни по смисъл значения.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Този раздел може да бъде ползван и разпространяван като част от Наръчника във всички случаи, когато наличието и ползването му е наложително или препоръчително, а също и за нужди на обучението. Приложими са и всички останали термини, посочени в трите стандарта.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229"/>
      </w:tblGrid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BodyTextIndent3"/>
              <w:ind w:hanging="0" w:end="0"/>
              <w:jc w:val="star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Термин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Значение</w:t>
            </w:r>
          </w:p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bCs/>
                <w:sz w:val="24"/>
                <w:lang w:val="be-BY"/>
              </w:rPr>
              <w:t>Документирана информация</w:t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e-BY"/>
              </w:rPr>
              <w:t>информация, за която има изискване да бъде контролирана и съхранявана от организацията,  и носителите, на които се съхранява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Разработване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комплекс от процеси, които преобразуват изискванията в специфицирани характеристики или в спецификация на продукт, процес или система </w:t>
            </w:r>
          </w:p>
        </w:tc>
      </w:tr>
      <w:tr>
        <w:trPr>
          <w:trHeight w:val="370" w:hRule="atLeast"/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Сделка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договореност и изпълнение на поръчка на клиент</w:t>
            </w:r>
          </w:p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Преглед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действие, предприето за да се определи пригодността, адекватността и ефективността на това, което се наблюдава, с цел да се постигнат установените цели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Проверка (верифициране)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потвърждаване и представяне на обективно доказателство, че определени изискванията са изпълнени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Потвърждаване (валидиране)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потвърждаване и представяне на обективно доказателство, че са изпълнени изискванията за определена предназначена употреба или приложение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Доставчик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организация или лице, което доставя продукт - осигурява материали, продукти или услуги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Договор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споразумение между доставчик и потребител за закупуване, преработка или изработка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Изискване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потребност или очакване, което е обявено, обичайно подразбиращо се или задължително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Заявка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деклариране на необходими материали пред съответен доставчик по количество и качество и срок на доставка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Материали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необходими за производството на продукта основни или спомагателни материали, които са обект на доставка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Идентификация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определено по вид и съдържание означаване на документи, материали и готови продукти, което позволява тяхното опознаване и може да послужи за проследяване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Проследяване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възможност да се проследи миналото, приложението или местонахождението на даден продукт чрез идентифициращи го записи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Несъответствие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неизпълнение на изискване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Разпореждане с несъответстващ продукт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действие, което трябва да се предприеме спрямо установения несъответстващ продукт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Преработка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действие върху несъответстващ продукт, за отстраняване на несъответствието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Бракуване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действие върху несъответстващ продукт, за да не се допусне оригиналната му предназначена употреба </w:t>
            </w:r>
          </w:p>
        </w:tc>
      </w:tr>
    </w:tbl>
    <w:p>
      <w:pPr>
        <w:pStyle w:val="Normal"/>
        <w:widowControl/>
        <w:rPr>
          <w:lang w:val="bg-BG"/>
        </w:rPr>
      </w:pPr>
      <w:r>
        <w:rPr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229"/>
      </w:tblGrid>
      <w:tr>
        <w:trPr>
          <w:trHeight w:val="434" w:hRule="atLeast"/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BodyTextIndent3"/>
              <w:ind w:hanging="0" w:end="0"/>
              <w:jc w:val="star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Термин</w:t>
            </w:r>
          </w:p>
          <w:p>
            <w:pPr>
              <w:pStyle w:val="BodyTextIndent3"/>
              <w:ind w:hanging="0" w:end="0"/>
              <w:jc w:val="start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Значение</w:t>
            </w:r>
          </w:p>
          <w:p>
            <w:pPr>
              <w:pStyle w:val="Normal"/>
              <w:tabs>
                <w:tab w:val="clear" w:pos="720"/>
                <w:tab w:val="left" w:pos="295" w:leader="none"/>
                <w:tab w:val="left" w:pos="1211" w:leader="none"/>
              </w:tabs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Околна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Околността, вкл. въздуха водата, земята, природните ресурси, флората, фауната, хората и техните взаимодействия, в които една организация осъществява дейността си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Аспект на околната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Елемент от дейностите, продуктите или услугите на дадена организация, които могат да взаимодействат с околната среда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Въздействие върху околната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Всяка неблагоприятна или благоприятна промяна на околната среда, която изцяло или частично е резултат от дейностите, продуктите или услугите на организацията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Система за управление на околната среда - СУОС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/>
            </w:pPr>
            <w:r>
              <w:rPr>
                <w:sz w:val="24"/>
                <w:lang w:val="bg-BG"/>
              </w:rPr>
              <w:t>Частта от общата система за управление, която включва организационната структура, дейностите по планирането, отговорностите, практиките, процедурите, процесите и ресурсите за разработване, внедряване, постигане, преглед и поддържане на политиката по околната среда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Одит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Систематична проверка, позволяваща да се определи, дали дейностите и свързаните с тях резултати съответстват на определените разпоредби и дали тези разпоредби са въведени ефективно и са подходящи  за реализиране на политиката и целите на организацията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Непрекъснато подобряване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Процес на усъвършенстване на СУОС за постигане на подобрения в цялостната резултатност спрямо УОС, в съответствие с политиката за управление на УОС на организацията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Заинтересована страна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Отделно лице или група лица, заинтересовани или засегнати от резултатността на дадена организация спрямо УОС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Несъответствие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 xml:space="preserve">Всяко отклонение от работните стандарти, практики, процедури, разпоредби, системи за управление и т.н., които могат да доведат директно или косвено до увреждане на околната среда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Цели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Целите, които организацията си е поставила по отношение на УОС</w:t>
            </w:r>
          </w:p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Организация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>Компания, дружество, фирма, предприятие, институция, асоциация или част от тях, с ограничена отговорност или с друг статус от публичното или частното право, която има своя собствена функционална или административна структура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Политика по околната среда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Декларация на организацията за нейните намерения и принципи, свързани с отношението спрямо околната среда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highlight w:val="green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Опасни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 xml:space="preserve">Отпадъците, чийто състав, количество и свойства създават риск за човешкото здраве и околната среда, притежават едно или повече свойства, които ги определят като опасни, и/или съдържат компоненти, които ги превръщат в опасни и/или са определени като такива според Базелската конвенция за контрол на трансграничното движение на опасни отпадъци и тяхното обезвреждане.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highlight w:val="green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Неопасни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Отпадъци, които не притежават опасни свойства, не съдържат компоненти, които ги превръщат в опасни, в резултат на което не са класифицирани като опасни отпадъци съгласно Наредба № 3 за класификация на отпадъците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color w:val="000000"/>
                <w:sz w:val="24"/>
                <w:szCs w:val="24"/>
                <w:lang w:val="bg-BG"/>
              </w:rPr>
              <w:t>Инертни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ind w:start="34" w:end="0"/>
              <w:rPr/>
            </w:pPr>
            <w:r>
              <w:rPr>
                <w:color w:val="000000"/>
                <w:sz w:val="24"/>
                <w:szCs w:val="24"/>
                <w:lang w:val="bg-BG"/>
              </w:rPr>
              <w:t>Отпадъци, които:</w:t>
            </w:r>
          </w:p>
          <w:p>
            <w:pPr>
              <w:pStyle w:val="Normal"/>
              <w:keepLines/>
              <w:widowControl/>
              <w:numPr>
                <w:ilvl w:val="0"/>
                <w:numId w:val="2"/>
              </w:numPr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не претърпяват съществени физични, химични и биологични изменения;</w:t>
            </w:r>
          </w:p>
          <w:p>
            <w:pPr>
              <w:pStyle w:val="Normal"/>
              <w:keepLines/>
              <w:widowControl/>
              <w:numPr>
                <w:ilvl w:val="0"/>
                <w:numId w:val="2"/>
              </w:numPr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не са разтворими, не горят и не участват в други физични или химични реакции;</w:t>
            </w:r>
          </w:p>
          <w:p>
            <w:pPr>
              <w:pStyle w:val="Normal"/>
              <w:keepLines/>
              <w:widowControl/>
              <w:numPr>
                <w:ilvl w:val="0"/>
                <w:numId w:val="2"/>
              </w:numPr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не са биоразградими и/или не оказват неблагоприятно въздействие върху други вещества, с които влизат в контакт по начин, който води до увреждане на човешкото здраве или до увреждане или замърсяване на околната среда над допустимите норми;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rPr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общото съдържание на замърсяващи вещества в отпадъците и екотоксичността на инфилтрата са незначителни и не оказват вредно въздействие върху качеството на повърхностните и/или подземните води.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Строителни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Отпадъци, получени в резултат на строителни и монтажни дейности и при разрушаване на сгради и разчистване на терени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Депониране на отпадъци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Транспортиране и предаване на отпадъци на изградени за целта депа, съгласно съответните нормативи и правила</w:t>
            </w:r>
          </w:p>
        </w:tc>
      </w:tr>
    </w:tbl>
    <w:p>
      <w:pPr>
        <w:pStyle w:val="Normal"/>
        <w:widowControl/>
        <w:rPr>
          <w:lang w:val="en-US"/>
        </w:rPr>
      </w:pPr>
      <w:r>
        <w:rPr>
          <w:lang w:val="en-US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229"/>
      </w:tblGrid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ник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rPr>
                <w:sz w:val="24"/>
                <w:szCs w:val="24"/>
                <w:lang w:val="bg-BG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оето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зп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лн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яв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ота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дейно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ър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ни</w:t>
            </w:r>
            <w:r>
              <w:rPr>
                <w:rFonts w:eastAsia="Tahoma"/>
                <w:spacing w:val="-8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под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9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лени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-1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а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сто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5" w:after="0"/>
              <w:ind w:start="113" w:end="71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място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лени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бв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ми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за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sz w:val="24"/>
                <w:szCs w:val="24"/>
                <w:lang w:val="bg-BG"/>
              </w:rPr>
              <w:t>оти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start="106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1"/>
                <w:position w:val="-1"/>
                <w:sz w:val="24"/>
                <w:szCs w:val="24"/>
                <w:lang w:val="bg-BG"/>
              </w:rPr>
              <w:t>зп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b/>
                <w:spacing w:val="-1"/>
                <w:position w:val="-1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2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л</w:t>
            </w:r>
          </w:p>
          <w:p>
            <w:pPr>
              <w:pStyle w:val="Normal"/>
              <w:spacing w:lineRule="exact" w:line="240" w:before="9" w:after="0"/>
              <w:ind w:start="106" w:end="84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9" w:after="0"/>
              <w:ind w:start="106" w:end="84"/>
              <w:rPr/>
            </w:pP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ш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ия, 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щ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а 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ус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</w:t>
            </w:r>
            <w:r>
              <w:rPr>
                <w:rFonts w:eastAsia="Tahoma"/>
                <w:spacing w:val="6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а 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в </w:t>
            </w:r>
            <w:r>
              <w:rPr>
                <w:rFonts w:eastAsia="Tahoma"/>
                <w:spacing w:val="6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ъот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z w:val="24"/>
                <w:szCs w:val="24"/>
                <w:lang w:val="bg-BG"/>
              </w:rPr>
              <w:t>тст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ие 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с 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ни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иф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ии,</w:t>
            </w:r>
            <w:r>
              <w:rPr>
                <w:rFonts w:eastAsia="Tahoma"/>
                <w:spacing w:val="-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ус</w:t>
            </w:r>
            <w:r>
              <w:rPr>
                <w:rFonts w:eastAsia="Tahoma"/>
                <w:sz w:val="24"/>
                <w:szCs w:val="24"/>
                <w:lang w:val="bg-BG"/>
              </w:rPr>
              <w:t>ло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ия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06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ак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иск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b/>
                <w:spacing w:val="-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ру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ия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5" w:after="0"/>
              <w:ind w:start="106" w:end="77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оно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ите</w:t>
            </w:r>
            <w:r>
              <w:rPr>
                <w:rFonts w:eastAsia="Tahoma"/>
                <w:spacing w:val="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изи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ния,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1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3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29"/>
                <w:w w:val="9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бв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2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из</w:t>
            </w:r>
            <w:r>
              <w:rPr>
                <w:rFonts w:eastAsia="Tahoma"/>
                <w:spacing w:val="3"/>
                <w:w w:val="94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w w:val="94"/>
                <w:sz w:val="24"/>
                <w:szCs w:val="24"/>
                <w:lang w:val="bg-BG"/>
              </w:rPr>
              <w:t>ск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2"/>
                <w:w w:val="94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ни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1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ои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о ор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бв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-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е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z w:val="24"/>
                <w:szCs w:val="24"/>
                <w:lang w:val="bg-BG"/>
              </w:rPr>
              <w:t>ла</w:t>
            </w:r>
            <w:r>
              <w:rPr>
                <w:rFonts w:eastAsia="Tahoma"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сп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сист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ма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b/>
                <w:spacing w:val="4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ле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b/>
                <w:spacing w:val="-1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ност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-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ри</w:t>
            </w:r>
            <w:r>
              <w:rPr>
                <w:rFonts w:eastAsia="Tahoma"/>
                <w:b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start="106" w:end="0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си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ма</w:t>
            </w:r>
            <w:r>
              <w:rPr>
                <w:rFonts w:eastAsia="Tahoma"/>
                <w:spacing w:val="2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6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ни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или </w:t>
            </w:r>
            <w:r>
              <w:rPr>
                <w:rFonts w:eastAsia="Tahoma"/>
                <w:spacing w:val="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ч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т 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от </w:t>
            </w:r>
            <w:r>
              <w:rPr>
                <w:rFonts w:eastAsia="Tahoma"/>
                <w:spacing w:val="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ма </w:t>
            </w:r>
            <w:r>
              <w:rPr>
                <w:rFonts w:eastAsia="Tahoma"/>
                <w:spacing w:val="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за </w:t>
            </w:r>
            <w:r>
              <w:rPr>
                <w:rFonts w:eastAsia="Tahoma"/>
                <w:spacing w:val="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sz w:val="24"/>
                <w:szCs w:val="24"/>
                <w:lang w:val="bg-BG"/>
              </w:rPr>
              <w:t>лени</w:t>
            </w:r>
            <w:r>
              <w:rPr>
                <w:rFonts w:eastAsia="Tahoma"/>
                <w:spacing w:val="6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,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из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олз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за </w:t>
            </w:r>
            <w:r>
              <w:rPr>
                <w:rFonts w:eastAsia="Tahoma"/>
                <w:spacing w:val="1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ъщ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6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</w:p>
          <w:p>
            <w:pPr>
              <w:pStyle w:val="Normal"/>
              <w:widowControl/>
              <w:rPr>
                <w:sz w:val="24"/>
                <w:szCs w:val="24"/>
                <w:lang w:val="bg-BG"/>
              </w:rPr>
            </w:pP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поли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та</w:t>
            </w:r>
            <w:r>
              <w:rPr>
                <w:rFonts w:eastAsia="Tahoma"/>
                <w:spacing w:val="5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6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БР</w:t>
            </w:r>
            <w:r>
              <w:rPr>
                <w:rFonts w:eastAsia="Tahoma"/>
                <w:spacing w:val="-2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 xml:space="preserve">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ис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ш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ък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од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ind w:start="113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 xml:space="preserve">ли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рупа</w:t>
            </w:r>
            <w:r>
              <w:rPr>
                <w:rFonts w:eastAsia="Tahoma"/>
                <w:spacing w:val="-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3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ят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он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роли</w:t>
            </w:r>
            <w:r>
              <w:rPr>
                <w:rFonts w:eastAsia="Tahoma"/>
                <w:spacing w:val="3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-1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ор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низ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0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й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-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0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" w:after="0"/>
              <w:ind w:start="106" w:end="0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ран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ане</w:t>
            </w:r>
            <w:r>
              <w:rPr>
                <w:rFonts w:eastAsia="Tahoma"/>
                <w:b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ол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не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 w:before="5" w:after="0"/>
              <w:ind w:start="106" w:end="84"/>
              <w:rPr/>
            </w:pP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еб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ия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й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pacing w:val="-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ърху</w:t>
            </w:r>
            <w:r>
              <w:rPr>
                <w:rFonts w:eastAsia="Tahoma"/>
                <w:spacing w:val="-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физ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z w:val="24"/>
                <w:szCs w:val="24"/>
                <w:lang w:val="bg-BG"/>
              </w:rPr>
              <w:t>че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ото,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ното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или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z w:val="24"/>
                <w:szCs w:val="24"/>
                <w:lang w:val="bg-BG"/>
              </w:rPr>
              <w:t>нит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ив</w:t>
            </w:r>
            <w:r>
              <w:rPr>
                <w:rFonts w:eastAsia="Tahoma"/>
                <w:sz w:val="24"/>
                <w:szCs w:val="24"/>
                <w:lang w:val="bg-BG"/>
              </w:rPr>
              <w:t>ното</w:t>
            </w:r>
            <w:r>
              <w:rPr>
                <w:rFonts w:eastAsia="Tahoma"/>
                <w:spacing w:val="-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(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озн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ава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лно)</w:t>
            </w:r>
            <w:r>
              <w:rPr>
                <w:rFonts w:eastAsia="Tahoma"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pacing w:val="-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 чо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z w:val="24"/>
                <w:szCs w:val="24"/>
                <w:lang w:val="bg-BG"/>
              </w:rPr>
              <w:t>к</w:t>
            </w:r>
          </w:p>
          <w:p>
            <w:pPr>
              <w:pStyle w:val="Normal"/>
              <w:widowControl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сност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източ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ик,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ой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ж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чи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6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ня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9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оля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не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риск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  <w:t>влияние на неопределеността Влиянието   е  отклонение   от  дадено  очакване   -  положително   и/или отрицателно. Неопределеност е състояние, дори частично, на недостиг на информация, отнасяща се до  разбиране или знание за дадено събитие, неговите последствия или вероятност. Рискът често се характеризира чрез позоваване на потенциални "събития"  и "последствия" или комбинация от тях. Рискът често пъти се изразява чрез комбинация от последствията  от едно събитие  (включително   изменения  в  обстоятелствата)   и  свързаната  с  това  "възможност"  за възникването му.</w:t>
            </w:r>
          </w:p>
          <w:p>
            <w:pPr>
              <w:pStyle w:val="Normal"/>
              <w:rPr>
                <w:rFonts w:eastAsia="Tahoma"/>
                <w:sz w:val="24"/>
                <w:szCs w:val="24"/>
                <w:lang w:val="bg-BG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мо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ж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ост</w:t>
            </w:r>
            <w:r>
              <w:rPr>
                <w:rFonts w:eastAsia="Tahoma"/>
                <w:b/>
                <w:spacing w:val="-1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 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снос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та</w:t>
            </w:r>
            <w:r>
              <w:rPr>
                <w:rFonts w:eastAsia="Tahoma"/>
                <w:b/>
                <w:spacing w:val="-1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ри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  <w:t>об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вк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об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я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ито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мо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обря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не на</w:t>
            </w:r>
            <w:r>
              <w:rPr>
                <w:rFonts w:eastAsia="Tahoma"/>
                <w:spacing w:val="2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лт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2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а по</w:t>
            </w:r>
            <w:r>
              <w:rPr>
                <w:rFonts w:eastAsia="Tahoma"/>
                <w:spacing w:val="-1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z w:val="24"/>
                <w:szCs w:val="24"/>
                <w:lang w:val="bg-BG"/>
              </w:rPr>
              <w:t>БР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40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b/>
                <w:spacing w:val="-1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b/>
                <w:spacing w:val="1"/>
                <w:position w:val="-1"/>
                <w:sz w:val="24"/>
                <w:szCs w:val="24"/>
                <w:lang w:val="bg-BG"/>
              </w:rPr>
              <w:t>пе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-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b/>
                <w:spacing w:val="2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position w:val="-1"/>
                <w:sz w:val="24"/>
                <w:szCs w:val="24"/>
                <w:lang w:val="bg-BG"/>
              </w:rPr>
              <w:t>ност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по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обн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-1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ния</w:t>
            </w:r>
            <w:r>
              <w:rPr>
                <w:rFonts w:eastAsia="Tahoma"/>
                <w:spacing w:val="-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м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ния</w:t>
            </w:r>
            <w:r>
              <w:rPr>
                <w:rFonts w:eastAsia="Tahoma"/>
                <w:spacing w:val="-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г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нир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0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лт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ти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" w:after="0"/>
              <w:rPr/>
            </w:pP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ура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  <w:lang w:val="bg-BG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ре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лен</w:t>
            </w:r>
            <w:r>
              <w:rPr>
                <w:rFonts w:eastAsia="Tahoma"/>
                <w:spacing w:val="-10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чин</w:t>
            </w:r>
            <w:r>
              <w:rPr>
                <w:rFonts w:eastAsia="Tahoma"/>
                <w:spacing w:val="-3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ъ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шва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1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д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йно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-7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про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с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ул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тн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b/>
                <w:spacing w:val="-1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pacing w:val="-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зд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ра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-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и 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b/>
                <w:spacing w:val="3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оп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сност</w:t>
            </w:r>
            <w:r>
              <w:rPr>
                <w:rFonts w:eastAsia="Tahoma"/>
                <w:b/>
                <w:spacing w:val="-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pacing w:val="1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ри</w:t>
            </w:r>
            <w:r>
              <w:rPr>
                <w:rFonts w:eastAsia="Tahoma"/>
                <w:b/>
                <w:spacing w:val="-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b/>
                <w:spacing w:val="2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б</w:t>
            </w:r>
            <w:r>
              <w:rPr>
                <w:rFonts w:eastAsia="Tahoma"/>
                <w:b/>
                <w:spacing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b/>
                <w:sz w:val="24"/>
                <w:szCs w:val="24"/>
                <w:lang w:val="bg-BG"/>
              </w:rPr>
              <w:t>та</w:t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20"/>
              <w:ind w:start="34" w:end="0"/>
              <w:rPr>
                <w:sz w:val="24"/>
                <w:szCs w:val="24"/>
              </w:rPr>
            </w:pP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у</w:t>
            </w:r>
            <w:r>
              <w:rPr>
                <w:rFonts w:eastAsia="Tahoma"/>
                <w:sz w:val="24"/>
                <w:szCs w:val="24"/>
                <w:lang w:val="bg-BG"/>
              </w:rPr>
              <w:t>лт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т </w:t>
            </w:r>
            <w:r>
              <w:rPr>
                <w:rFonts w:eastAsia="Tahoma"/>
                <w:spacing w:val="2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ърз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 </w:t>
            </w:r>
            <w:r>
              <w:rPr>
                <w:rFonts w:eastAsia="Tahoma"/>
                <w:spacing w:val="2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с  </w:t>
            </w:r>
            <w:r>
              <w:rPr>
                <w:rFonts w:eastAsia="Tahoma"/>
                <w:spacing w:val="3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>фика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а </w:t>
            </w:r>
            <w:r>
              <w:rPr>
                <w:rFonts w:eastAsia="Tahoma"/>
                <w:spacing w:val="1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 </w:t>
            </w:r>
            <w:r>
              <w:rPr>
                <w:rFonts w:eastAsia="Tahoma"/>
                <w:spacing w:val="34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ява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то  </w:t>
            </w:r>
            <w:r>
              <w:rPr>
                <w:rFonts w:eastAsia="Tahoma"/>
                <w:spacing w:val="1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на  </w:t>
            </w:r>
            <w:r>
              <w:rPr>
                <w:rFonts w:eastAsia="Tahoma"/>
                <w:spacing w:val="3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ня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не </w:t>
            </w:r>
            <w:r>
              <w:rPr>
                <w:rFonts w:eastAsia="Tahoma"/>
                <w:spacing w:val="33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оля</w:t>
            </w:r>
            <w:r>
              <w:rPr>
                <w:rFonts w:eastAsia="Tahoma"/>
                <w:spacing w:val="2"/>
                <w:w w:val="95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19"/>
                <w:w w:val="95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spacing w:val="2"/>
                <w:w w:val="94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w w:val="94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w w:val="94"/>
                <w:position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w w:val="94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11"/>
                <w:w w:val="94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 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3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гу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ря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8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бе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зоп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9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здр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ав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position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pacing w:val="2"/>
                <w:position w:val="-1"/>
                <w:sz w:val="24"/>
                <w:szCs w:val="24"/>
                <w:lang w:val="bg-BG"/>
              </w:rPr>
              <w:t>л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position w:val="-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position w:val="-1"/>
                <w:sz w:val="24"/>
                <w:szCs w:val="24"/>
                <w:lang w:val="bg-BG"/>
              </w:rPr>
              <w:t>но</w:t>
            </w:r>
            <w:r>
              <w:rPr>
                <w:rFonts w:eastAsia="Tahoma"/>
                <w:spacing w:val="-8"/>
                <w:position w:val="-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w w:val="95"/>
                <w:position w:val="-1"/>
                <w:sz w:val="24"/>
                <w:szCs w:val="24"/>
                <w:lang w:val="bg-BG"/>
              </w:rPr>
              <w:t>о място</w:t>
            </w:r>
            <w:r>
              <w:rPr>
                <w:rFonts w:eastAsia="Tahoma"/>
                <w:spacing w:val="1"/>
                <w:w w:val="95"/>
                <w:position w:val="-1"/>
                <w:sz w:val="24"/>
                <w:szCs w:val="24"/>
                <w:lang w:val="bg-BG"/>
              </w:rPr>
              <w:t xml:space="preserve"> </w:t>
            </w:r>
          </w:p>
        </w:tc>
      </w:tr>
      <w:tr>
        <w:trPr>
          <w:cantSplit/>
        </w:trPr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eastAsia="Tahoma"/>
                <w:b/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</w:rPr>
              <w:t>инцидент</w:t>
            </w:r>
          </w:p>
          <w:p>
            <w:pPr>
              <w:pStyle w:val="Normal"/>
              <w:rPr>
                <w:rFonts w:eastAsia="Tahoma"/>
                <w:b/>
                <w:sz w:val="24"/>
                <w:szCs w:val="24"/>
              </w:rPr>
            </w:pPr>
            <w:r>
              <w:rPr>
                <w:rFonts w:eastAsia="Tahoma"/>
                <w:b/>
                <w:sz w:val="24"/>
                <w:szCs w:val="24"/>
              </w:rPr>
            </w:r>
          </w:p>
        </w:tc>
        <w:tc>
          <w:tcPr>
            <w:tcW w:w="72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ъб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ие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49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ъзн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ващ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4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от</w:t>
            </w:r>
            <w:r>
              <w:rPr>
                <w:rFonts w:eastAsia="Tahoma"/>
                <w:spacing w:val="5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5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п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ц</w:t>
            </w:r>
            <w:r>
              <w:rPr>
                <w:rFonts w:eastAsia="Tahoma"/>
                <w:spacing w:val="3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с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51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на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spacing w:val="2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z w:val="24"/>
                <w:szCs w:val="24"/>
                <w:lang w:val="bg-BG"/>
              </w:rPr>
              <w:t>т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,</w:t>
            </w:r>
            <w:r>
              <w:rPr>
                <w:rFonts w:eastAsia="Tahoma"/>
                <w:spacing w:val="50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к</w:t>
            </w:r>
            <w:r>
              <w:rPr>
                <w:rFonts w:eastAsia="Tahoma"/>
                <w:sz w:val="24"/>
                <w:szCs w:val="24"/>
                <w:lang w:val="bg-BG"/>
              </w:rPr>
              <w:t>оето</w:t>
            </w:r>
            <w:r>
              <w:rPr>
                <w:rFonts w:eastAsia="Tahoma"/>
                <w:spacing w:val="5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мо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ж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pacing w:val="5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ве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е</w:t>
            </w:r>
            <w:r>
              <w:rPr>
                <w:rFonts w:eastAsia="Tahoma"/>
                <w:spacing w:val="52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или</w:t>
            </w:r>
            <w:r>
              <w:rPr>
                <w:rFonts w:eastAsia="Tahoma"/>
                <w:spacing w:val="57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</w:t>
            </w:r>
            <w:r>
              <w:rPr>
                <w:rFonts w:eastAsia="Tahoma"/>
                <w:sz w:val="24"/>
                <w:szCs w:val="24"/>
                <w:lang w:val="bg-BG"/>
              </w:rPr>
              <w:t>о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>и</w:t>
            </w:r>
            <w:r>
              <w:rPr>
                <w:rFonts w:eastAsia="Tahoma"/>
                <w:spacing w:val="56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pacing w:val="-1"/>
                <w:sz w:val="24"/>
                <w:szCs w:val="24"/>
                <w:lang w:val="bg-BG"/>
              </w:rPr>
              <w:t>д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о </w:t>
            </w:r>
            <w:r>
              <w:rPr>
                <w:rFonts w:eastAsia="Tahoma"/>
                <w:spacing w:val="8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>н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р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а</w:t>
            </w:r>
            <w:r>
              <w:rPr>
                <w:rFonts w:eastAsia="Tahoma"/>
                <w:sz w:val="24"/>
                <w:szCs w:val="24"/>
                <w:lang w:val="bg-BG"/>
              </w:rPr>
              <w:t>ня</w:t>
            </w:r>
            <w:r>
              <w:rPr>
                <w:rFonts w:eastAsia="Tahoma"/>
                <w:spacing w:val="1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sz w:val="24"/>
                <w:szCs w:val="24"/>
                <w:lang w:val="bg-BG"/>
              </w:rPr>
              <w:t>не</w:t>
            </w:r>
            <w:r>
              <w:rPr>
                <w:rFonts w:eastAsia="Tahoma"/>
                <w:spacing w:val="-5"/>
                <w:sz w:val="24"/>
                <w:szCs w:val="24"/>
                <w:lang w:val="bg-BG"/>
              </w:rPr>
              <w:t xml:space="preserve"> </w:t>
            </w:r>
            <w:r>
              <w:rPr>
                <w:rFonts w:eastAsia="Tahoma"/>
                <w:sz w:val="24"/>
                <w:szCs w:val="24"/>
                <w:lang w:val="bg-BG"/>
              </w:rPr>
              <w:t xml:space="preserve">и 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з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аб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оля</w:t>
            </w:r>
            <w:r>
              <w:rPr>
                <w:rFonts w:eastAsia="Tahoma"/>
                <w:spacing w:val="1"/>
                <w:w w:val="94"/>
                <w:sz w:val="24"/>
                <w:szCs w:val="24"/>
                <w:lang w:val="bg-BG"/>
              </w:rPr>
              <w:t>ва</w:t>
            </w:r>
            <w:r>
              <w:rPr>
                <w:rFonts w:eastAsia="Tahoma"/>
                <w:w w:val="94"/>
                <w:sz w:val="24"/>
                <w:szCs w:val="24"/>
                <w:lang w:val="bg-BG"/>
              </w:rPr>
              <w:t>не</w:t>
            </w:r>
          </w:p>
        </w:tc>
      </w:tr>
    </w:tbl>
    <w:p>
      <w:pPr>
        <w:pStyle w:val="Normal"/>
        <w:widowControl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567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1"/>
      <w:gridCol w:w="850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3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ТЕРМИНИ И ОПРЕДЕЛЕНИЯ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1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4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 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3</w:t>
          </w:r>
        </w:p>
        <w:p>
          <w:pPr>
            <w:pStyle w:val="Normal"/>
            <w:jc w:val="center"/>
            <w:rPr>
              <w:sz w:val="24"/>
              <w:lang w:val="bg-BG"/>
            </w:rPr>
          </w:pPr>
          <w:r>
            <w:rPr>
              <w:b/>
              <w:lang w:val="bg-BG"/>
            </w:rPr>
            <w:t>ТЕРМИНИ И ОПРЕДЕЛЕНИЯ</w:t>
          </w:r>
        </w:p>
        <w:p>
          <w:pPr>
            <w:pStyle w:val="Normal"/>
            <w:jc w:val="center"/>
            <w:rPr>
              <w:b/>
              <w:sz w:val="24"/>
              <w:lang w:val="en-US"/>
            </w:rPr>
          </w:pPr>
          <w:r>
            <w:rPr>
              <w:b/>
              <w:sz w:val="24"/>
              <w:lang w:val="en-US"/>
            </w:rPr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3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36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1584" w:leader="none"/>
      </w:tabs>
      <w:spacing w:lineRule="atLeast" w:line="240"/>
      <w:ind w:hanging="1584" w:start="1584" w:end="0"/>
      <w:jc w:val="both"/>
      <w:outlineLvl w:val="8"/>
    </w:pPr>
    <w:rPr>
      <w:sz w:val="2"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8z0">
    <w:name w:val="WW8NumSt8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BodyTextIndent3Char">
    <w:name w:val="Body Text Indent 3 Char"/>
    <w:qFormat/>
    <w:rPr>
      <w:sz w:val="24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</w:pPr>
    <w:rPr>
      <w:rFonts w:ascii="Arial" w:hAnsi="Arial" w:cs="Arial"/>
      <w:sz w:val="24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odyTextIndent3">
    <w:name w:val="Body Text Indent 3"/>
    <w:basedOn w:val="Normal"/>
    <w:qFormat/>
    <w:pPr>
      <w:widowControl/>
      <w:ind w:firstLine="720" w:start="0" w:end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2002-08-05T08:20:00Z</dcterms:created>
  <dc:creator>MT</dc:creator>
  <dc:description/>
  <cp:keywords/>
  <dc:language>bg-BG</dc:language>
  <cp:lastModifiedBy>Julia</cp:lastModifiedBy>
  <cp:lastPrinted>2009-09-23T11:40:00Z</cp:lastPrinted>
  <dcterms:modified xsi:type="dcterms:W3CDTF">2019-11-06T19:11:00Z</dcterms:modified>
  <cp:revision>75</cp:revision>
  <dc:subject>Наръчник по качеството</dc:subject>
  <dc:title>Термини и определения</dc:title>
</cp:coreProperties>
</file>