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bCs/>
          <w:sz w:val="24"/>
          <w:lang w:val="bg-BG"/>
        </w:rPr>
      </w:pPr>
      <w:r>
        <w:rPr>
          <w:b/>
          <w:bCs/>
          <w:sz w:val="24"/>
          <w:lang w:val="bg-BG"/>
        </w:rPr>
        <w:t>9. ОЦЕНЯВАНЕ НА РЕЗУЛТАТНОСТТА</w:t>
      </w:r>
    </w:p>
    <w:p>
      <w:pPr>
        <w:pStyle w:val="Normal"/>
        <w:jc w:val="both"/>
        <w:rPr>
          <w:b/>
          <w:bCs/>
          <w:sz w:val="24"/>
          <w:lang w:val="bg-BG"/>
        </w:rPr>
      </w:pPr>
      <w:r>
        <w:rPr>
          <w:b/>
          <w:bCs/>
          <w:sz w:val="24"/>
          <w:lang w:val="bg-BG"/>
        </w:rPr>
      </w:r>
    </w:p>
    <w:p>
      <w:pPr>
        <w:pStyle w:val="Normal"/>
        <w:jc w:val="both"/>
        <w:rPr>
          <w:b/>
          <w:bCs/>
          <w:sz w:val="24"/>
          <w:lang w:val="bg-BG"/>
        </w:rPr>
      </w:pPr>
      <w:r>
        <w:rPr>
          <w:b/>
          <w:bCs/>
          <w:sz w:val="24"/>
          <w:lang w:val="bg-BG"/>
        </w:rPr>
        <w:t>9.1</w:t>
        <w:tab/>
        <w:t>НАБЛЮДЕНИЕ, ИЗМЕРВАНЕ, АНАЛИЗ И ОЦЕНЯВАНЕ</w:t>
      </w:r>
    </w:p>
    <w:p>
      <w:pPr>
        <w:pStyle w:val="Normal"/>
        <w:jc w:val="both"/>
        <w:rPr>
          <w:b/>
          <w:bCs/>
          <w:sz w:val="24"/>
          <w:lang w:val="bg-BG"/>
        </w:rPr>
      </w:pPr>
      <w:r>
        <w:rPr>
          <w:b/>
          <w:bCs/>
          <w:sz w:val="24"/>
          <w:lang w:val="bg-BG"/>
        </w:rPr>
      </w:r>
    </w:p>
    <w:p>
      <w:pPr>
        <w:pStyle w:val="Normal"/>
        <w:jc w:val="both"/>
        <w:rPr>
          <w:b/>
          <w:bCs/>
          <w:sz w:val="24"/>
          <w:lang w:val="bg-BG"/>
        </w:rPr>
      </w:pPr>
      <w:r>
        <w:rPr>
          <w:b/>
          <w:bCs/>
          <w:sz w:val="24"/>
          <w:lang w:val="bg-BG"/>
        </w:rPr>
        <w:t>9.1.1</w:t>
        <w:tab/>
        <w:t>ОБЩИ ПОЛОЖЕНИЯ</w:t>
      </w:r>
    </w:p>
    <w:p>
      <w:pPr>
        <w:pStyle w:val="Normal"/>
        <w:jc w:val="both"/>
        <w:rPr>
          <w:b/>
          <w:bCs/>
          <w:sz w:val="24"/>
          <w:lang w:val="bg-BG"/>
        </w:rPr>
      </w:pPr>
      <w:r>
        <w:rPr>
          <w:b/>
          <w:bCs/>
          <w:sz w:val="24"/>
          <w:lang w:val="bg-BG"/>
        </w:rPr>
      </w:r>
    </w:p>
    <w:p>
      <w:pPr>
        <w:pStyle w:val="Normal"/>
        <w:jc w:val="both"/>
        <w:rPr/>
      </w:pPr>
      <w:r>
        <w:rPr>
          <w:bCs/>
          <w:sz w:val="24"/>
          <w:lang w:val="bg-BG"/>
        </w:rPr>
        <w:t>Чрез процесите за измерване, анализиране и оценяване, се гарантира:</w:t>
      </w:r>
    </w:p>
    <w:p>
      <w:pPr>
        <w:pStyle w:val="Normal"/>
        <w:numPr>
          <w:ilvl w:val="0"/>
          <w:numId w:val="11"/>
        </w:numPr>
        <w:ind w:hanging="284" w:start="284" w:end="0"/>
        <w:jc w:val="both"/>
        <w:rPr>
          <w:bCs/>
          <w:sz w:val="24"/>
          <w:lang w:val="bg-BG"/>
        </w:rPr>
      </w:pPr>
      <w:r>
        <w:rPr>
          <w:bCs/>
          <w:sz w:val="24"/>
          <w:lang w:val="bg-BG"/>
        </w:rPr>
        <w:t>съответствието на продуктите с предявените изисквания към тях;</w:t>
      </w:r>
    </w:p>
    <w:p>
      <w:pPr>
        <w:pStyle w:val="Normal"/>
        <w:numPr>
          <w:ilvl w:val="0"/>
          <w:numId w:val="11"/>
        </w:numPr>
        <w:ind w:hanging="284" w:start="284" w:end="0"/>
        <w:jc w:val="both"/>
        <w:rPr>
          <w:bCs/>
          <w:sz w:val="24"/>
          <w:lang w:val="bg-BG"/>
        </w:rPr>
      </w:pPr>
      <w:r>
        <w:rPr>
          <w:bCs/>
          <w:sz w:val="24"/>
          <w:lang w:val="bg-BG"/>
        </w:rPr>
        <w:t>съответствието на практиката с внедрената Система за управление;</w:t>
      </w:r>
    </w:p>
    <w:p>
      <w:pPr>
        <w:pStyle w:val="Normal"/>
        <w:numPr>
          <w:ilvl w:val="0"/>
          <w:numId w:val="11"/>
        </w:numPr>
        <w:ind w:hanging="284" w:start="284" w:end="0"/>
        <w:jc w:val="both"/>
        <w:rPr>
          <w:bCs/>
          <w:sz w:val="24"/>
          <w:lang w:val="bg-BG"/>
        </w:rPr>
      </w:pPr>
      <w:r>
        <w:rPr>
          <w:bCs/>
          <w:sz w:val="24"/>
          <w:lang w:val="bg-BG"/>
        </w:rPr>
        <w:t>непрекъснатото подобряване на процесите, които ги осигуряват.</w:t>
      </w:r>
    </w:p>
    <w:p>
      <w:pPr>
        <w:pStyle w:val="Normal"/>
        <w:ind w:hanging="284" w:start="284" w:end="0"/>
        <w:jc w:val="both"/>
        <w:rPr>
          <w:bCs/>
          <w:sz w:val="24"/>
          <w:lang w:val="bg-BG"/>
        </w:rPr>
      </w:pPr>
      <w:r>
        <w:rPr>
          <w:bCs/>
          <w:sz w:val="24"/>
          <w:lang w:val="bg-BG"/>
        </w:rPr>
      </w:r>
    </w:p>
    <w:p>
      <w:pPr>
        <w:pStyle w:val="Normal"/>
        <w:jc w:val="both"/>
        <w:rPr/>
      </w:pPr>
      <w:r>
        <w:rPr>
          <w:bCs/>
          <w:sz w:val="24"/>
          <w:lang w:val="bg-BG"/>
        </w:rPr>
        <w:t>За постигнатото съответствие на продуктите се съди по изпълнението на изискванията на клиента като технически характеристики, количество и срок на изпълнение.</w:t>
      </w:r>
    </w:p>
    <w:p>
      <w:pPr>
        <w:pStyle w:val="Normal"/>
        <w:jc w:val="both"/>
        <w:rPr>
          <w:bCs/>
          <w:sz w:val="24"/>
          <w:lang w:val="bg-BG"/>
        </w:rPr>
      </w:pPr>
      <w:r>
        <w:rPr>
          <w:bCs/>
          <w:sz w:val="24"/>
          <w:lang w:val="bg-BG"/>
        </w:rPr>
      </w:r>
    </w:p>
    <w:p>
      <w:pPr>
        <w:pStyle w:val="Normal"/>
        <w:jc w:val="both"/>
        <w:rPr/>
      </w:pPr>
      <w:r>
        <w:rPr>
          <w:bCs/>
          <w:sz w:val="24"/>
          <w:lang w:val="bg-BG"/>
        </w:rPr>
        <w:t>Фирмата определя:</w:t>
      </w:r>
    </w:p>
    <w:p>
      <w:pPr>
        <w:pStyle w:val="Normal"/>
        <w:numPr>
          <w:ilvl w:val="0"/>
          <w:numId w:val="2"/>
        </w:numPr>
        <w:ind w:hanging="284" w:start="284" w:end="0"/>
        <w:jc w:val="both"/>
        <w:rPr>
          <w:bCs/>
          <w:sz w:val="24"/>
          <w:lang w:val="bg-BG"/>
        </w:rPr>
      </w:pPr>
      <w:r>
        <w:rPr>
          <w:bCs/>
          <w:sz w:val="24"/>
          <w:lang w:val="bg-BG"/>
        </w:rPr>
        <w:t>какво да бъде наблюдавано и измервано;</w:t>
      </w:r>
    </w:p>
    <w:p>
      <w:pPr>
        <w:pStyle w:val="Normal"/>
        <w:numPr>
          <w:ilvl w:val="0"/>
          <w:numId w:val="2"/>
        </w:numPr>
        <w:ind w:hanging="284" w:start="284" w:end="0"/>
        <w:jc w:val="both"/>
        <w:rPr>
          <w:bCs/>
          <w:sz w:val="24"/>
          <w:lang w:val="bg-BG"/>
        </w:rPr>
      </w:pPr>
      <w:r>
        <w:rPr>
          <w:bCs/>
          <w:sz w:val="24"/>
          <w:lang w:val="bg-BG"/>
        </w:rPr>
        <w:t>методите за наблюдение, измерване, анализ и оценяване;</w:t>
      </w:r>
    </w:p>
    <w:p>
      <w:pPr>
        <w:pStyle w:val="Normal"/>
        <w:numPr>
          <w:ilvl w:val="0"/>
          <w:numId w:val="2"/>
        </w:numPr>
        <w:ind w:hanging="284" w:start="284" w:end="0"/>
        <w:jc w:val="both"/>
        <w:rPr>
          <w:bCs/>
          <w:sz w:val="24"/>
          <w:lang w:val="bg-BG"/>
        </w:rPr>
      </w:pPr>
      <w:r>
        <w:rPr>
          <w:bCs/>
          <w:sz w:val="24"/>
          <w:lang w:val="bg-BG"/>
        </w:rPr>
        <w:t>кога да се извършва наблюдение и измерване;</w:t>
      </w:r>
    </w:p>
    <w:p>
      <w:pPr>
        <w:pStyle w:val="Normal"/>
        <w:numPr>
          <w:ilvl w:val="0"/>
          <w:numId w:val="2"/>
        </w:numPr>
        <w:ind w:hanging="284" w:start="284" w:end="0"/>
        <w:jc w:val="both"/>
        <w:rPr>
          <w:bCs/>
          <w:sz w:val="24"/>
          <w:lang w:val="bg-BG"/>
        </w:rPr>
      </w:pPr>
      <w:r>
        <w:rPr>
          <w:bCs/>
          <w:sz w:val="24"/>
          <w:lang w:val="bg-BG"/>
        </w:rPr>
        <w:t>кога резултатите от наблюдението и измерването да бъдат анализирани и оценявани.</w:t>
      </w:r>
    </w:p>
    <w:p>
      <w:pPr>
        <w:pStyle w:val="Normal"/>
        <w:jc w:val="both"/>
        <w:rPr>
          <w:bCs/>
          <w:sz w:val="24"/>
          <w:lang w:val="bg-BG"/>
        </w:rPr>
      </w:pPr>
      <w:r>
        <w:rPr>
          <w:bCs/>
          <w:sz w:val="24"/>
          <w:lang w:val="bg-BG"/>
        </w:rPr>
      </w:r>
    </w:p>
    <w:p>
      <w:pPr>
        <w:pStyle w:val="Normal"/>
        <w:jc w:val="both"/>
        <w:rPr/>
      </w:pPr>
      <w:r>
        <w:rPr>
          <w:bCs/>
          <w:sz w:val="24"/>
          <w:lang w:val="bg-BG"/>
        </w:rPr>
        <w:t>Оценява се резултатността  и  ефикасността  на  системата  за  управление и се   съхранява  подходяща  документирана  информация  като  доказателство  за резултатите.</w:t>
      </w:r>
    </w:p>
    <w:p>
      <w:pPr>
        <w:pStyle w:val="Normal"/>
        <w:jc w:val="both"/>
        <w:rPr>
          <w:bCs/>
          <w:sz w:val="24"/>
          <w:lang w:val="bg-BG"/>
        </w:rPr>
      </w:pPr>
      <w:r>
        <w:rPr>
          <w:bCs/>
          <w:sz w:val="24"/>
          <w:lang w:val="bg-BG"/>
        </w:rPr>
      </w:r>
    </w:p>
    <w:p>
      <w:pPr>
        <w:pStyle w:val="Normal"/>
        <w:jc w:val="both"/>
        <w:rPr>
          <w:bCs/>
          <w:sz w:val="24"/>
          <w:lang w:val="bg-BG"/>
        </w:rPr>
      </w:pPr>
      <w:r>
        <w:rPr>
          <w:bCs/>
          <w:sz w:val="24"/>
          <w:lang w:val="bg-BG"/>
        </w:rPr>
      </w:r>
    </w:p>
    <w:p>
      <w:pPr>
        <w:pStyle w:val="Normal"/>
        <w:jc w:val="both"/>
        <w:rPr>
          <w:b/>
          <w:bCs/>
          <w:sz w:val="24"/>
          <w:lang w:val="bg-BG"/>
        </w:rPr>
      </w:pPr>
      <w:r>
        <w:rPr>
          <w:b/>
          <w:bCs/>
          <w:sz w:val="24"/>
          <w:lang w:val="bg-BG"/>
        </w:rPr>
        <w:t>9.1.2</w:t>
        <w:tab/>
        <w:t>УДОВЛЕТВОРЕНОСТ НА КЛИЕНТА</w:t>
      </w:r>
    </w:p>
    <w:p>
      <w:pPr>
        <w:pStyle w:val="Normal"/>
        <w:jc w:val="both"/>
        <w:rPr>
          <w:b/>
          <w:bCs/>
          <w:sz w:val="24"/>
          <w:lang w:val="bg-BG"/>
        </w:rPr>
      </w:pPr>
      <w:r>
        <w:rPr>
          <w:b/>
          <w:bCs/>
          <w:sz w:val="24"/>
          <w:lang w:val="bg-BG"/>
        </w:rPr>
      </w:r>
    </w:p>
    <w:p>
      <w:pPr>
        <w:pStyle w:val="Normal"/>
        <w:jc w:val="both"/>
        <w:rPr/>
      </w:pPr>
      <w:r>
        <w:rPr>
          <w:bCs/>
          <w:sz w:val="24"/>
          <w:lang w:val="bg-BG"/>
        </w:rPr>
        <w:t>Оценяването на удовлетвореността на клиентите определя в каква степен продуктите ги удовлетворяват. Удовлетворяването на изискванията на потребителите оказва влияние върху вероятността доволни клиенти отново да потърсят услугите на фирмата с което да се увеличи размера на продажбите.</w:t>
      </w:r>
    </w:p>
    <w:p>
      <w:pPr>
        <w:pStyle w:val="Normal"/>
        <w:jc w:val="both"/>
        <w:rPr>
          <w:bCs/>
          <w:sz w:val="24"/>
          <w:lang w:val="bg-BG"/>
        </w:rPr>
      </w:pPr>
      <w:r>
        <w:rPr>
          <w:bCs/>
          <w:sz w:val="24"/>
          <w:lang w:val="bg-BG"/>
        </w:rPr>
      </w:r>
    </w:p>
    <w:p>
      <w:pPr>
        <w:pStyle w:val="Normal"/>
        <w:jc w:val="both"/>
        <w:rPr>
          <w:bCs/>
          <w:sz w:val="24"/>
          <w:lang w:val="bg-BG"/>
        </w:rPr>
      </w:pPr>
      <w:r>
        <w:rPr>
          <w:bCs/>
          <w:sz w:val="24"/>
          <w:lang w:val="bg-BG"/>
        </w:rPr>
        <w:t>Информация за удовлетворяване на изискванията на клиентите  може да бъде получена чрез:</w:t>
      </w:r>
    </w:p>
    <w:p>
      <w:pPr>
        <w:pStyle w:val="Normal"/>
        <w:numPr>
          <w:ilvl w:val="1"/>
          <w:numId w:val="6"/>
        </w:numPr>
        <w:ind w:hanging="284" w:start="284" w:end="0"/>
        <w:jc w:val="both"/>
        <w:rPr>
          <w:bCs/>
          <w:sz w:val="24"/>
          <w:lang w:val="bg-BG"/>
        </w:rPr>
      </w:pPr>
      <w:r>
        <w:rPr>
          <w:bCs/>
          <w:sz w:val="24"/>
          <w:lang w:val="bg-BG"/>
        </w:rPr>
        <w:t>събиране и анализ на обратна информация от клиенти - включително оплаквания и недоволство и рекламации, за да се определи евентуална област на подобряване;</w:t>
      </w:r>
    </w:p>
    <w:p>
      <w:pPr>
        <w:pStyle w:val="Normal"/>
        <w:numPr>
          <w:ilvl w:val="1"/>
          <w:numId w:val="6"/>
        </w:numPr>
        <w:ind w:hanging="284" w:start="284" w:end="0"/>
        <w:jc w:val="both"/>
        <w:rPr>
          <w:bCs/>
          <w:sz w:val="24"/>
          <w:lang w:val="bg-BG"/>
        </w:rPr>
      </w:pPr>
      <w:r>
        <w:rPr>
          <w:bCs/>
          <w:sz w:val="24"/>
          <w:lang w:val="bg-BG"/>
        </w:rPr>
        <w:t>срещи с клиенти с цел получаване на мнения и препоръки за действия,</w:t>
      </w:r>
    </w:p>
    <w:p>
      <w:pPr>
        <w:pStyle w:val="Normal"/>
        <w:numPr>
          <w:ilvl w:val="0"/>
          <w:numId w:val="12"/>
        </w:numPr>
        <w:ind w:hanging="284" w:start="284" w:end="0"/>
        <w:jc w:val="both"/>
        <w:rPr>
          <w:bCs/>
          <w:sz w:val="24"/>
          <w:lang w:val="bg-BG"/>
        </w:rPr>
      </w:pPr>
      <w:r>
        <w:rPr>
          <w:bCs/>
          <w:sz w:val="24"/>
          <w:lang w:val="bg-BG"/>
        </w:rPr>
        <w:t>свързани с по-пълно задоволяване на изискванията и очакванията;</w:t>
      </w:r>
    </w:p>
    <w:p>
      <w:pPr>
        <w:pStyle w:val="Normal"/>
        <w:numPr>
          <w:ilvl w:val="0"/>
          <w:numId w:val="9"/>
        </w:numPr>
        <w:ind w:hanging="284" w:start="284" w:end="0"/>
        <w:jc w:val="both"/>
        <w:rPr>
          <w:bCs/>
          <w:sz w:val="24"/>
          <w:lang w:val="bg-BG"/>
        </w:rPr>
      </w:pPr>
      <w:r>
        <w:rPr>
          <w:bCs/>
          <w:sz w:val="24"/>
          <w:lang w:val="bg-BG"/>
        </w:rPr>
        <w:t>информация от специализирани изложби и др.;</w:t>
      </w:r>
    </w:p>
    <w:p>
      <w:pPr>
        <w:pStyle w:val="Normal"/>
        <w:numPr>
          <w:ilvl w:val="0"/>
          <w:numId w:val="9"/>
        </w:numPr>
        <w:ind w:hanging="284" w:start="284" w:end="0"/>
        <w:jc w:val="both"/>
        <w:rPr>
          <w:bCs/>
          <w:sz w:val="24"/>
          <w:lang w:val="bg-BG"/>
        </w:rPr>
      </w:pPr>
      <w:r>
        <w:rPr>
          <w:bCs/>
          <w:sz w:val="24"/>
          <w:lang w:val="bg-BG"/>
        </w:rPr>
        <w:t>пряко наблюдение върху поведението на продукта.</w:t>
      </w:r>
    </w:p>
    <w:p>
      <w:pPr>
        <w:pStyle w:val="Normal"/>
        <w:jc w:val="both"/>
        <w:rPr>
          <w:bCs/>
          <w:sz w:val="24"/>
          <w:lang w:val="bg-BG"/>
        </w:rPr>
      </w:pPr>
      <w:r>
        <w:rPr>
          <w:bCs/>
          <w:sz w:val="24"/>
          <w:lang w:val="bg-BG"/>
        </w:rPr>
      </w:r>
    </w:p>
    <w:p>
      <w:pPr>
        <w:pStyle w:val="Normal"/>
        <w:jc w:val="both"/>
        <w:rPr>
          <w:bCs/>
          <w:sz w:val="24"/>
          <w:lang w:val="bg-BG"/>
        </w:rPr>
      </w:pPr>
      <w:r>
        <w:rPr>
          <w:bCs/>
          <w:sz w:val="24"/>
          <w:lang w:val="bg-BG"/>
        </w:rPr>
        <w:t xml:space="preserve">Едновременно с проучване на удовлетвореността на клиентите, фирмата събира и анализира информация за политиката и действията на конкурентите по отношение на качеството. </w:t>
      </w:r>
    </w:p>
    <w:p>
      <w:pPr>
        <w:pStyle w:val="Normal"/>
        <w:jc w:val="both"/>
        <w:rPr>
          <w:bCs/>
          <w:sz w:val="24"/>
          <w:lang w:val="bg-BG"/>
        </w:rPr>
      </w:pPr>
      <w:r>
        <w:rPr>
          <w:bCs/>
          <w:sz w:val="24"/>
          <w:lang w:val="bg-BG"/>
        </w:rPr>
      </w:r>
    </w:p>
    <w:p>
      <w:pPr>
        <w:pStyle w:val="Normal"/>
        <w:jc w:val="both"/>
        <w:rPr>
          <w:bCs/>
          <w:sz w:val="24"/>
          <w:lang w:val="bg-BG"/>
        </w:rPr>
      </w:pPr>
      <w:r>
        <w:rPr>
          <w:bCs/>
          <w:sz w:val="24"/>
          <w:lang w:val="bg-BG"/>
        </w:rPr>
        <w:t>Проучването на нуждите на пазара и на конкурентите позволява да се предвидят техните действия и да се предприемат изпреварващи действия или да се вземат решения, свързани с нови продукти и пазари. При извършване на Преглед на ръководството на база на получените от клиентите анкети се прави оценка на удовлетвореността на клиента и при регистрирани незадоволителни резултати се набелязват коригиращи действия.</w:t>
      </w:r>
    </w:p>
    <w:p>
      <w:pPr>
        <w:pStyle w:val="Normal"/>
        <w:jc w:val="both"/>
        <w:rPr>
          <w:bCs/>
          <w:sz w:val="24"/>
          <w:lang w:val="bg-BG"/>
        </w:rPr>
      </w:pPr>
      <w:r>
        <w:rPr>
          <w:bCs/>
          <w:sz w:val="24"/>
          <w:lang w:val="bg-BG"/>
        </w:rPr>
      </w:r>
    </w:p>
    <w:p>
      <w:pPr>
        <w:pStyle w:val="Normal"/>
        <w:jc w:val="both"/>
        <w:rPr>
          <w:b/>
          <w:bCs/>
          <w:sz w:val="24"/>
          <w:lang w:val="bg-BG"/>
        </w:rPr>
      </w:pPr>
      <w:r>
        <w:rPr>
          <w:b/>
          <w:bCs/>
          <w:sz w:val="24"/>
          <w:lang w:val="bg-BG"/>
        </w:rPr>
        <w:t>9.1.3</w:t>
        <w:tab/>
        <w:t>АНАЛИЗ И ОЦЕНЯВАНЕ</w:t>
      </w:r>
    </w:p>
    <w:p>
      <w:pPr>
        <w:pStyle w:val="Normal"/>
        <w:jc w:val="both"/>
        <w:rPr>
          <w:b/>
          <w:bCs/>
          <w:sz w:val="24"/>
          <w:lang w:val="bg-BG"/>
        </w:rPr>
      </w:pPr>
      <w:r>
        <w:rPr>
          <w:b/>
          <w:bCs/>
          <w:sz w:val="24"/>
          <w:lang w:val="bg-BG"/>
        </w:rPr>
      </w:r>
    </w:p>
    <w:p>
      <w:pPr>
        <w:pStyle w:val="Normal"/>
        <w:jc w:val="both"/>
        <w:rPr/>
      </w:pPr>
      <w:r>
        <w:rPr>
          <w:bCs/>
          <w:sz w:val="24"/>
          <w:lang w:val="bg-BG"/>
        </w:rPr>
        <w:t>Фирмата анализира и оценява подходящите данни и информацията, получени в резултат от наблюдение и измерване.</w:t>
      </w:r>
    </w:p>
    <w:p>
      <w:pPr>
        <w:pStyle w:val="Normal"/>
        <w:jc w:val="both"/>
        <w:rPr>
          <w:bCs/>
          <w:sz w:val="24"/>
          <w:lang w:val="bg-BG"/>
        </w:rPr>
      </w:pPr>
      <w:r>
        <w:rPr>
          <w:bCs/>
          <w:sz w:val="24"/>
          <w:lang w:val="bg-BG"/>
        </w:rPr>
      </w:r>
    </w:p>
    <w:p>
      <w:pPr>
        <w:pStyle w:val="Normal"/>
        <w:jc w:val="both"/>
        <w:rPr/>
      </w:pPr>
      <w:r>
        <w:rPr>
          <w:bCs/>
          <w:sz w:val="24"/>
          <w:lang w:val="bg-BG"/>
        </w:rPr>
        <w:t>Резултатите от анализа се използват за оценяване на:</w:t>
      </w:r>
    </w:p>
    <w:p>
      <w:pPr>
        <w:pStyle w:val="Normal"/>
        <w:numPr>
          <w:ilvl w:val="0"/>
          <w:numId w:val="3"/>
        </w:numPr>
        <w:ind w:hanging="284" w:start="284" w:end="0"/>
        <w:jc w:val="both"/>
        <w:rPr>
          <w:bCs/>
          <w:sz w:val="24"/>
          <w:lang w:val="bg-BG"/>
        </w:rPr>
      </w:pPr>
      <w:r>
        <w:rPr>
          <w:bCs/>
          <w:sz w:val="24"/>
          <w:lang w:val="bg-BG"/>
        </w:rPr>
        <w:t>съответствието на продуктите;</w:t>
      </w:r>
    </w:p>
    <w:p>
      <w:pPr>
        <w:pStyle w:val="Normal"/>
        <w:numPr>
          <w:ilvl w:val="0"/>
          <w:numId w:val="3"/>
        </w:numPr>
        <w:ind w:hanging="284" w:start="284" w:end="0"/>
        <w:jc w:val="both"/>
        <w:rPr>
          <w:bCs/>
          <w:sz w:val="24"/>
          <w:lang w:val="bg-BG"/>
        </w:rPr>
      </w:pPr>
      <w:r>
        <w:rPr>
          <w:bCs/>
          <w:sz w:val="24"/>
          <w:lang w:val="bg-BG"/>
        </w:rPr>
        <w:t>степента на удовлетвореност на клиентите;</w:t>
      </w:r>
    </w:p>
    <w:p>
      <w:pPr>
        <w:pStyle w:val="Normal"/>
        <w:numPr>
          <w:ilvl w:val="0"/>
          <w:numId w:val="3"/>
        </w:numPr>
        <w:ind w:hanging="284" w:start="284" w:end="0"/>
        <w:jc w:val="both"/>
        <w:rPr>
          <w:bCs/>
          <w:sz w:val="24"/>
          <w:lang w:val="bg-BG"/>
        </w:rPr>
      </w:pPr>
      <w:r>
        <w:rPr>
          <w:bCs/>
          <w:sz w:val="24"/>
          <w:lang w:val="bg-BG"/>
        </w:rPr>
        <w:t>резултатността и ефикасността на системата за управление;</w:t>
      </w:r>
    </w:p>
    <w:p>
      <w:pPr>
        <w:pStyle w:val="Normal"/>
        <w:numPr>
          <w:ilvl w:val="0"/>
          <w:numId w:val="3"/>
        </w:numPr>
        <w:ind w:hanging="284" w:start="284" w:end="0"/>
        <w:jc w:val="both"/>
        <w:rPr>
          <w:bCs/>
          <w:sz w:val="24"/>
          <w:lang w:val="bg-BG"/>
        </w:rPr>
      </w:pPr>
      <w:r>
        <w:rPr>
          <w:bCs/>
          <w:sz w:val="24"/>
          <w:lang w:val="bg-BG"/>
        </w:rPr>
        <w:t>ефикасността на предприетите действия за овладяване на рисковете и възможностите;</w:t>
      </w:r>
    </w:p>
    <w:p>
      <w:pPr>
        <w:pStyle w:val="Normal"/>
        <w:numPr>
          <w:ilvl w:val="0"/>
          <w:numId w:val="3"/>
        </w:numPr>
        <w:ind w:hanging="284" w:start="284" w:end="0"/>
        <w:jc w:val="both"/>
        <w:rPr>
          <w:bCs/>
          <w:sz w:val="24"/>
          <w:lang w:val="bg-BG"/>
        </w:rPr>
      </w:pPr>
      <w:r>
        <w:rPr>
          <w:bCs/>
          <w:sz w:val="24"/>
          <w:lang w:val="bg-BG"/>
        </w:rPr>
        <w:t>изпълнението от външни доставчици.</w:t>
      </w:r>
    </w:p>
    <w:p>
      <w:pPr>
        <w:pStyle w:val="Normal"/>
        <w:jc w:val="both"/>
        <w:rPr>
          <w:bCs/>
          <w:sz w:val="24"/>
          <w:lang w:val="bg-BG"/>
        </w:rPr>
      </w:pPr>
      <w:r>
        <w:rPr>
          <w:bCs/>
          <w:sz w:val="24"/>
          <w:lang w:val="bg-BG"/>
        </w:rPr>
      </w:r>
    </w:p>
    <w:p>
      <w:pPr>
        <w:pStyle w:val="Normal"/>
        <w:jc w:val="both"/>
        <w:rPr>
          <w:bCs/>
          <w:sz w:val="24"/>
          <w:lang w:val="bg-BG"/>
        </w:rPr>
      </w:pPr>
      <w:r>
        <w:rPr>
          <w:bCs/>
          <w:sz w:val="24"/>
          <w:lang w:val="bg-BG"/>
        </w:rPr>
        <w:t>Анализът на информация, получена в резултат на наблюдения, се прилага при оценяване постигането на целите и задачите, за да се изберат приоритетни области за подобрения, както и възможни ползи за фирмата.</w:t>
      </w:r>
    </w:p>
    <w:p>
      <w:pPr>
        <w:pStyle w:val="Normal"/>
        <w:jc w:val="both"/>
        <w:rPr>
          <w:bCs/>
          <w:sz w:val="24"/>
          <w:lang w:val="bg-BG"/>
        </w:rPr>
      </w:pPr>
      <w:r>
        <w:rPr>
          <w:bCs/>
          <w:sz w:val="24"/>
          <w:lang w:val="bg-BG"/>
        </w:rPr>
      </w:r>
    </w:p>
    <w:p>
      <w:pPr>
        <w:pStyle w:val="Normal"/>
        <w:jc w:val="both"/>
        <w:rPr>
          <w:bCs/>
          <w:sz w:val="24"/>
          <w:lang w:val="bg-BG"/>
        </w:rPr>
      </w:pPr>
      <w:r>
        <w:rPr>
          <w:bCs/>
          <w:sz w:val="24"/>
          <w:lang w:val="bg-BG"/>
        </w:rPr>
        <w:t>На анализ подлежи информация относно:</w:t>
      </w:r>
    </w:p>
    <w:p>
      <w:pPr>
        <w:pStyle w:val="Normal"/>
        <w:numPr>
          <w:ilvl w:val="0"/>
          <w:numId w:val="13"/>
        </w:numPr>
        <w:ind w:hanging="284" w:start="284" w:end="0"/>
        <w:jc w:val="both"/>
        <w:rPr>
          <w:bCs/>
          <w:sz w:val="24"/>
          <w:lang w:val="bg-BG"/>
        </w:rPr>
      </w:pPr>
      <w:r>
        <w:rPr>
          <w:bCs/>
          <w:sz w:val="24"/>
          <w:lang w:val="bg-BG"/>
        </w:rPr>
        <w:t xml:space="preserve">удовлетвореността на клиентите; </w:t>
      </w:r>
    </w:p>
    <w:p>
      <w:pPr>
        <w:pStyle w:val="Normal"/>
        <w:numPr>
          <w:ilvl w:val="0"/>
          <w:numId w:val="13"/>
        </w:numPr>
        <w:ind w:hanging="284" w:start="284" w:end="0"/>
        <w:jc w:val="both"/>
        <w:rPr>
          <w:bCs/>
          <w:sz w:val="24"/>
          <w:lang w:val="bg-BG"/>
        </w:rPr>
      </w:pPr>
      <w:r>
        <w:rPr>
          <w:bCs/>
          <w:sz w:val="24"/>
          <w:lang w:val="bg-BG"/>
        </w:rPr>
        <w:t>съответствието на продуктите;</w:t>
      </w:r>
    </w:p>
    <w:p>
      <w:pPr>
        <w:pStyle w:val="Normal"/>
        <w:numPr>
          <w:ilvl w:val="0"/>
          <w:numId w:val="13"/>
        </w:numPr>
        <w:ind w:hanging="284" w:start="284" w:end="0"/>
        <w:jc w:val="both"/>
        <w:rPr>
          <w:bCs/>
          <w:sz w:val="24"/>
          <w:lang w:val="bg-BG"/>
        </w:rPr>
      </w:pPr>
      <w:r>
        <w:rPr>
          <w:bCs/>
          <w:sz w:val="24"/>
          <w:lang w:val="bg-BG"/>
        </w:rPr>
        <w:t>протичане на процесите;</w:t>
      </w:r>
    </w:p>
    <w:p>
      <w:pPr>
        <w:pStyle w:val="Normal"/>
        <w:numPr>
          <w:ilvl w:val="0"/>
          <w:numId w:val="13"/>
        </w:numPr>
        <w:ind w:hanging="284" w:start="284" w:end="0"/>
        <w:jc w:val="both"/>
        <w:rPr>
          <w:bCs/>
          <w:sz w:val="24"/>
          <w:lang w:val="bg-BG"/>
        </w:rPr>
      </w:pPr>
      <w:r>
        <w:rPr>
          <w:bCs/>
          <w:sz w:val="24"/>
          <w:lang w:val="bg-BG"/>
        </w:rPr>
        <w:t>функционирането на ИС;</w:t>
      </w:r>
    </w:p>
    <w:p>
      <w:pPr>
        <w:pStyle w:val="Normal"/>
        <w:numPr>
          <w:ilvl w:val="0"/>
          <w:numId w:val="13"/>
        </w:numPr>
        <w:ind w:hanging="284" w:start="284" w:end="0"/>
        <w:jc w:val="both"/>
        <w:rPr>
          <w:bCs/>
          <w:sz w:val="24"/>
          <w:lang w:val="bg-BG"/>
        </w:rPr>
      </w:pPr>
      <w:r>
        <w:rPr>
          <w:bCs/>
          <w:sz w:val="24"/>
          <w:lang w:val="bg-BG"/>
        </w:rPr>
        <w:t>надеждността и коректността на доставчиците.</w:t>
      </w:r>
    </w:p>
    <w:p>
      <w:pPr>
        <w:pStyle w:val="Normal"/>
        <w:jc w:val="both"/>
        <w:rPr>
          <w:bCs/>
          <w:sz w:val="24"/>
          <w:lang w:val="bg-BG"/>
        </w:rPr>
      </w:pPr>
      <w:r>
        <w:rPr>
          <w:bCs/>
          <w:sz w:val="24"/>
          <w:lang w:val="bg-BG"/>
        </w:rPr>
      </w:r>
    </w:p>
    <w:p>
      <w:pPr>
        <w:pStyle w:val="Normal"/>
        <w:jc w:val="both"/>
        <w:rPr/>
      </w:pPr>
      <w:r>
        <w:rPr>
          <w:bCs/>
          <w:sz w:val="24"/>
          <w:lang w:val="bg-BG"/>
        </w:rPr>
        <w:t>Определянето и регистрирането на данните става посредством методи, посочени в съответните процедури. В зависимост от характера на анализираните област/обект и от целите на анализа се използват опростени помощни и/или статистически методи.</w:t>
      </w:r>
    </w:p>
    <w:p>
      <w:pPr>
        <w:pStyle w:val="Normal"/>
        <w:jc w:val="both"/>
        <w:rPr>
          <w:bCs/>
          <w:sz w:val="24"/>
          <w:lang w:val="bg-BG"/>
        </w:rPr>
      </w:pPr>
      <w:r>
        <w:rPr>
          <w:bCs/>
          <w:sz w:val="24"/>
          <w:lang w:val="bg-BG"/>
        </w:rPr>
      </w:r>
    </w:p>
    <w:p>
      <w:pPr>
        <w:pStyle w:val="Normal"/>
        <w:jc w:val="both"/>
        <w:rPr>
          <w:bCs/>
          <w:sz w:val="24"/>
          <w:lang w:val="bg-BG"/>
        </w:rPr>
      </w:pPr>
      <w:r>
        <w:rPr>
          <w:bCs/>
          <w:sz w:val="24"/>
          <w:lang w:val="bg-BG"/>
        </w:rPr>
      </w:r>
    </w:p>
    <w:p>
      <w:pPr>
        <w:pStyle w:val="Normal"/>
        <w:jc w:val="both"/>
        <w:rPr/>
      </w:pPr>
      <w:r>
        <w:rPr>
          <w:b/>
          <w:bCs/>
          <w:sz w:val="24"/>
          <w:lang w:val="bg-BG"/>
        </w:rPr>
        <w:t>9.1.4</w:t>
      </w:r>
      <w:r>
        <w:rPr>
          <w:bCs/>
          <w:sz w:val="24"/>
          <w:lang w:val="bg-BG"/>
        </w:rPr>
        <w:t xml:space="preserve"> </w:t>
      </w:r>
      <w:r>
        <w:rPr>
          <w:b/>
          <w:bCs/>
          <w:sz w:val="24"/>
          <w:lang w:val="bg-BG"/>
        </w:rPr>
        <w:t>МОНИТОРИНГ И ИЗМЕРВАНЕ НА ДЕЙНОСТИТЕ ПО УПРАВЛЕНИЕ НА ОКОЛНАТА СРЕДА И УСЛОВИЯТА НА ТРУД</w:t>
      </w:r>
      <w:r>
        <w:rPr>
          <w:bCs/>
          <w:sz w:val="24"/>
          <w:lang w:val="bg-BG"/>
        </w:rPr>
        <w:t xml:space="preserve"> </w:t>
      </w:r>
    </w:p>
    <w:p>
      <w:pPr>
        <w:pStyle w:val="Normal"/>
        <w:jc w:val="both"/>
        <w:rPr>
          <w:bCs/>
          <w:sz w:val="24"/>
          <w:lang w:val="bg-BG"/>
        </w:rPr>
      </w:pPr>
      <w:r>
        <w:rPr>
          <w:bCs/>
          <w:sz w:val="24"/>
          <w:lang w:val="bg-BG"/>
        </w:rPr>
      </w:r>
    </w:p>
    <w:p>
      <w:pPr>
        <w:pStyle w:val="Normal"/>
        <w:jc w:val="both"/>
        <w:rPr/>
      </w:pPr>
      <w:r>
        <w:rPr>
          <w:bCs/>
          <w:sz w:val="24"/>
          <w:lang w:val="bg-BG"/>
        </w:rPr>
        <w:t>Параметрите за въвеждане на мерките по управление на околната среда и условията на труд в организацията включват:</w:t>
      </w:r>
    </w:p>
    <w:p>
      <w:pPr>
        <w:pStyle w:val="Normal"/>
        <w:numPr>
          <w:ilvl w:val="1"/>
          <w:numId w:val="4"/>
        </w:numPr>
        <w:ind w:hanging="284" w:start="284" w:end="0"/>
        <w:jc w:val="both"/>
        <w:rPr>
          <w:bCs/>
          <w:sz w:val="24"/>
          <w:lang w:val="bg-BG"/>
        </w:rPr>
      </w:pPr>
      <w:r>
        <w:rPr>
          <w:bCs/>
          <w:sz w:val="24"/>
          <w:lang w:val="bg-BG"/>
        </w:rPr>
        <w:t>Постигане на политиката и целите поставени от ръководството;</w:t>
      </w:r>
    </w:p>
    <w:p>
      <w:pPr>
        <w:pStyle w:val="Normal"/>
        <w:numPr>
          <w:ilvl w:val="1"/>
          <w:numId w:val="4"/>
        </w:numPr>
        <w:ind w:hanging="284" w:start="284" w:end="0"/>
        <w:jc w:val="both"/>
        <w:rPr>
          <w:bCs/>
          <w:sz w:val="24"/>
          <w:lang w:val="bg-BG"/>
        </w:rPr>
      </w:pPr>
      <w:r>
        <w:rPr>
          <w:bCs/>
          <w:sz w:val="24"/>
          <w:lang w:val="bg-BG"/>
        </w:rPr>
        <w:t>Идентификация на рисковете за ОС и рисковете по ЗБР, анализ и контрол на риска;</w:t>
      </w:r>
    </w:p>
    <w:p>
      <w:pPr>
        <w:pStyle w:val="Normal"/>
        <w:numPr>
          <w:ilvl w:val="1"/>
          <w:numId w:val="4"/>
        </w:numPr>
        <w:ind w:hanging="284" w:start="284" w:end="0"/>
        <w:jc w:val="both"/>
        <w:rPr>
          <w:bCs/>
          <w:sz w:val="24"/>
          <w:lang w:val="bg-BG"/>
        </w:rPr>
      </w:pPr>
      <w:r>
        <w:rPr>
          <w:bCs/>
          <w:sz w:val="24"/>
          <w:lang w:val="bg-BG"/>
        </w:rPr>
        <w:t>Анализ и оценка на несъответствията, вкл. и случаите на инциденти свързани с аспекти на околната среда или рискове за здравето;</w:t>
      </w:r>
    </w:p>
    <w:p>
      <w:pPr>
        <w:pStyle w:val="Normal"/>
        <w:numPr>
          <w:ilvl w:val="1"/>
          <w:numId w:val="4"/>
        </w:numPr>
        <w:ind w:hanging="284" w:start="284" w:end="0"/>
        <w:jc w:val="both"/>
        <w:rPr>
          <w:bCs/>
          <w:sz w:val="24"/>
          <w:lang w:val="bg-BG"/>
        </w:rPr>
      </w:pPr>
      <w:r>
        <w:rPr>
          <w:bCs/>
          <w:sz w:val="24"/>
          <w:lang w:val="bg-BG"/>
        </w:rPr>
        <w:t>Ефективност на програмите за обучение, осъзнаване, комуникация и информиране;</w:t>
      </w:r>
    </w:p>
    <w:p>
      <w:pPr>
        <w:pStyle w:val="Normal"/>
        <w:numPr>
          <w:ilvl w:val="1"/>
          <w:numId w:val="4"/>
        </w:numPr>
        <w:ind w:hanging="284" w:start="284" w:end="0"/>
        <w:jc w:val="both"/>
        <w:rPr>
          <w:bCs/>
          <w:sz w:val="24"/>
          <w:lang w:val="bg-BG"/>
        </w:rPr>
      </w:pPr>
      <w:r>
        <w:rPr>
          <w:bCs/>
          <w:sz w:val="24"/>
          <w:lang w:val="bg-BG"/>
        </w:rPr>
        <w:t xml:space="preserve">Наличие на информация за Прегледа от ръководството и подобряване на системата. </w:t>
      </w:r>
    </w:p>
    <w:p>
      <w:pPr>
        <w:pStyle w:val="Normal"/>
        <w:jc w:val="both"/>
        <w:rPr>
          <w:bCs/>
          <w:sz w:val="24"/>
          <w:lang w:val="bg-BG"/>
        </w:rPr>
      </w:pPr>
      <w:r>
        <w:rPr>
          <w:bCs/>
          <w:sz w:val="24"/>
          <w:lang w:val="bg-BG"/>
        </w:rPr>
      </w:r>
    </w:p>
    <w:p>
      <w:pPr>
        <w:pStyle w:val="Normal"/>
        <w:jc w:val="both"/>
        <w:rPr/>
      </w:pPr>
      <w:r>
        <w:rPr>
          <w:bCs/>
          <w:sz w:val="24"/>
          <w:lang w:val="bg-BG"/>
        </w:rPr>
        <w:t xml:space="preserve">За по-ефективно осъществяване на дейността по измерване и мониторинг на резултатността на системата, Мениджърът на ИС изготвя План за мониторинг, на базата на резултатите от идентификация на аспектите на ОС, идентификация на основните рискове за здравето при работа, законодателството и нормативните изисквания. Редът за извършване на дейностите по измервани и мониторинг на резултатността от функционирането на СУОС е регламентиран в </w:t>
      </w:r>
      <w:r>
        <w:rPr>
          <w:bCs/>
          <w:sz w:val="24"/>
          <w:lang w:val="en-US"/>
        </w:rPr>
        <w:t>IP</w:t>
      </w:r>
      <w:r>
        <w:rPr>
          <w:bCs/>
          <w:sz w:val="24"/>
          <w:lang w:val="bg-BG"/>
        </w:rPr>
        <w:t xml:space="preserve"> 09.01.00 „Мониторинг”.</w:t>
      </w:r>
    </w:p>
    <w:p>
      <w:pPr>
        <w:pStyle w:val="Normal"/>
        <w:jc w:val="both"/>
        <w:rPr>
          <w:bCs/>
          <w:sz w:val="24"/>
          <w:lang w:val="bg-BG"/>
        </w:rPr>
      </w:pPr>
      <w:r>
        <w:rPr>
          <w:bCs/>
          <w:sz w:val="24"/>
          <w:lang w:val="bg-BG"/>
        </w:rPr>
      </w:r>
    </w:p>
    <w:p>
      <w:pPr>
        <w:pStyle w:val="Normal"/>
        <w:jc w:val="both"/>
        <w:rPr>
          <w:bCs/>
          <w:sz w:val="24"/>
          <w:lang w:val="bg-BG"/>
        </w:rPr>
      </w:pPr>
      <w:r>
        <w:rPr>
          <w:bCs/>
          <w:sz w:val="24"/>
          <w:lang w:val="bg-BG"/>
        </w:rPr>
      </w:r>
    </w:p>
    <w:p>
      <w:pPr>
        <w:pStyle w:val="Normal"/>
        <w:jc w:val="both"/>
        <w:rPr/>
      </w:pPr>
      <w:r>
        <w:rPr>
          <w:b/>
          <w:bCs/>
          <w:sz w:val="24"/>
          <w:lang w:val="bg-BG"/>
        </w:rPr>
        <w:t>9.2</w:t>
        <w:tab/>
        <w:t>ВЪТРЕШЕН ОДИТ</w:t>
      </w:r>
    </w:p>
    <w:p>
      <w:pPr>
        <w:pStyle w:val="Normal"/>
        <w:jc w:val="both"/>
        <w:rPr>
          <w:b/>
          <w:bCs/>
          <w:sz w:val="24"/>
          <w:lang w:val="bg-BG"/>
        </w:rPr>
      </w:pPr>
      <w:r>
        <w:rPr>
          <w:b/>
          <w:bCs/>
          <w:sz w:val="24"/>
          <w:lang w:val="bg-BG"/>
        </w:rPr>
      </w:r>
    </w:p>
    <w:p>
      <w:pPr>
        <w:pStyle w:val="Normal"/>
        <w:jc w:val="both"/>
        <w:rPr/>
      </w:pPr>
      <w:r>
        <w:rPr>
          <w:bCs/>
          <w:sz w:val="24"/>
          <w:lang w:val="bg-BG"/>
        </w:rPr>
        <w:t xml:space="preserve">Планирането, провеждането, оценяването и документирането на проверките на ИС и на процесите, необходими за функционирането и, с цел независимо оценяване на силните и слаби страни са регламентирани в </w:t>
      </w:r>
      <w:r>
        <w:rPr>
          <w:bCs/>
          <w:sz w:val="24"/>
          <w:lang w:val="en-US"/>
        </w:rPr>
        <w:t>IP</w:t>
      </w:r>
      <w:r>
        <w:rPr>
          <w:bCs/>
          <w:sz w:val="24"/>
          <w:lang w:val="bg-BG"/>
        </w:rPr>
        <w:t xml:space="preserve"> 09.02.00 „Вътрешни одити”, разработена на основание на стандарт ISO 19011.</w:t>
      </w:r>
    </w:p>
    <w:p>
      <w:pPr>
        <w:pStyle w:val="Normal"/>
        <w:jc w:val="both"/>
        <w:rPr>
          <w:bCs/>
          <w:sz w:val="24"/>
          <w:lang w:val="bg-BG"/>
        </w:rPr>
      </w:pPr>
      <w:r>
        <w:rPr>
          <w:bCs/>
          <w:sz w:val="24"/>
          <w:lang w:val="bg-BG"/>
        </w:rPr>
      </w:r>
    </w:p>
    <w:p>
      <w:pPr>
        <w:pStyle w:val="Normal"/>
        <w:jc w:val="both"/>
        <w:rPr>
          <w:bCs/>
          <w:sz w:val="24"/>
          <w:lang w:val="bg-BG"/>
        </w:rPr>
      </w:pPr>
      <w:r>
        <w:rPr>
          <w:bCs/>
          <w:sz w:val="24"/>
          <w:lang w:val="bg-BG"/>
        </w:rPr>
        <w:t xml:space="preserve">Мениджърът на ИС изготвя годишен „План за вътрешни одити”, която се утвърждава от Управителя. В нея се залагат проверки за определяне съответствието на определените и документирани изисквания на ИС. </w:t>
      </w:r>
    </w:p>
    <w:p>
      <w:pPr>
        <w:pStyle w:val="Normal"/>
        <w:jc w:val="both"/>
        <w:rPr>
          <w:bCs/>
          <w:sz w:val="24"/>
          <w:lang w:val="bg-BG"/>
        </w:rPr>
      </w:pPr>
      <w:r>
        <w:rPr>
          <w:bCs/>
          <w:sz w:val="24"/>
          <w:lang w:val="bg-BG"/>
        </w:rPr>
      </w:r>
    </w:p>
    <w:p>
      <w:pPr>
        <w:pStyle w:val="Normal"/>
        <w:jc w:val="both"/>
        <w:rPr>
          <w:bCs/>
          <w:sz w:val="24"/>
          <w:lang w:val="bg-BG"/>
        </w:rPr>
      </w:pPr>
      <w:r>
        <w:rPr>
          <w:bCs/>
          <w:sz w:val="24"/>
          <w:lang w:val="bg-BG"/>
        </w:rPr>
        <w:t>Допуска се провеждането на извънредни одити по преценка на ръководството, като причините се отбелязват в програмата. Основания за провеждане на извънредни вътрешни одити могат да бъдат:</w:t>
      </w:r>
    </w:p>
    <w:p>
      <w:pPr>
        <w:pStyle w:val="Normal"/>
        <w:numPr>
          <w:ilvl w:val="0"/>
          <w:numId w:val="5"/>
        </w:numPr>
        <w:ind w:hanging="284" w:start="284" w:end="0"/>
        <w:jc w:val="both"/>
        <w:rPr>
          <w:bCs/>
          <w:sz w:val="24"/>
          <w:lang w:val="bg-BG"/>
        </w:rPr>
      </w:pPr>
      <w:r>
        <w:rPr>
          <w:bCs/>
          <w:sz w:val="24"/>
          <w:lang w:val="bg-BG"/>
        </w:rPr>
        <w:t>констатирани значими несъответствия от предишен одит;</w:t>
      </w:r>
    </w:p>
    <w:p>
      <w:pPr>
        <w:pStyle w:val="Normal"/>
        <w:numPr>
          <w:ilvl w:val="0"/>
          <w:numId w:val="5"/>
        </w:numPr>
        <w:ind w:hanging="284" w:start="284" w:end="0"/>
        <w:jc w:val="both"/>
        <w:rPr>
          <w:bCs/>
          <w:sz w:val="24"/>
          <w:lang w:val="bg-BG"/>
        </w:rPr>
      </w:pPr>
      <w:r>
        <w:rPr>
          <w:bCs/>
          <w:sz w:val="24"/>
          <w:lang w:val="bg-BG"/>
        </w:rPr>
        <w:t>рекламации и оплаквания от клиенти;</w:t>
      </w:r>
    </w:p>
    <w:p>
      <w:pPr>
        <w:pStyle w:val="Normal"/>
        <w:numPr>
          <w:ilvl w:val="0"/>
          <w:numId w:val="5"/>
        </w:numPr>
        <w:ind w:hanging="284" w:start="284" w:end="0"/>
        <w:jc w:val="both"/>
        <w:rPr>
          <w:bCs/>
          <w:sz w:val="24"/>
          <w:lang w:val="bg-BG"/>
        </w:rPr>
      </w:pPr>
      <w:r>
        <w:rPr>
          <w:bCs/>
          <w:sz w:val="24"/>
          <w:lang w:val="bg-BG"/>
        </w:rPr>
        <w:t>промени в технологията на работа;</w:t>
      </w:r>
    </w:p>
    <w:p>
      <w:pPr>
        <w:pStyle w:val="Normal"/>
        <w:numPr>
          <w:ilvl w:val="0"/>
          <w:numId w:val="5"/>
        </w:numPr>
        <w:ind w:hanging="284" w:start="284" w:end="0"/>
        <w:jc w:val="both"/>
        <w:rPr>
          <w:bCs/>
          <w:sz w:val="24"/>
          <w:lang w:val="bg-BG"/>
        </w:rPr>
      </w:pPr>
      <w:r>
        <w:rPr>
          <w:bCs/>
          <w:sz w:val="24"/>
          <w:lang w:val="bg-BG"/>
        </w:rPr>
        <w:t>промени в използваното производствено оборудване;</w:t>
      </w:r>
    </w:p>
    <w:p>
      <w:pPr>
        <w:pStyle w:val="Normal"/>
        <w:numPr>
          <w:ilvl w:val="0"/>
          <w:numId w:val="5"/>
        </w:numPr>
        <w:ind w:hanging="284" w:start="284" w:end="0"/>
        <w:jc w:val="both"/>
        <w:rPr>
          <w:bCs/>
          <w:sz w:val="24"/>
          <w:lang w:val="bg-BG"/>
        </w:rPr>
      </w:pPr>
      <w:r>
        <w:rPr>
          <w:bCs/>
          <w:sz w:val="24"/>
          <w:lang w:val="bg-BG"/>
        </w:rPr>
        <w:t>констатирани несъответствия при прегледа на ръководството.</w:t>
      </w:r>
    </w:p>
    <w:p>
      <w:pPr>
        <w:pStyle w:val="Normal"/>
        <w:jc w:val="both"/>
        <w:rPr>
          <w:bCs/>
          <w:sz w:val="24"/>
          <w:lang w:val="bg-BG"/>
        </w:rPr>
      </w:pPr>
      <w:r>
        <w:rPr>
          <w:bCs/>
          <w:sz w:val="24"/>
          <w:lang w:val="bg-BG"/>
        </w:rPr>
      </w:r>
    </w:p>
    <w:p>
      <w:pPr>
        <w:pStyle w:val="Normal"/>
        <w:jc w:val="both"/>
        <w:rPr>
          <w:bCs/>
          <w:sz w:val="24"/>
          <w:lang w:val="bg-BG"/>
        </w:rPr>
      </w:pPr>
      <w:r>
        <w:rPr>
          <w:bCs/>
          <w:sz w:val="24"/>
          <w:lang w:val="bg-BG"/>
        </w:rPr>
        <w:t>При определяне на одиторския екип трябва да бъде спазено изискването за обективност и независимост на одитирането. Одиторите не могат да одитират собствената си дейност.</w:t>
      </w:r>
    </w:p>
    <w:p>
      <w:pPr>
        <w:pStyle w:val="Normal"/>
        <w:jc w:val="both"/>
        <w:rPr/>
      </w:pPr>
      <w:r>
        <w:rPr>
          <w:bCs/>
          <w:sz w:val="24"/>
          <w:lang w:val="bg-BG"/>
        </w:rPr>
        <w:t>Доказателства при одит се събират чрез:</w:t>
      </w:r>
    </w:p>
    <w:p>
      <w:pPr>
        <w:pStyle w:val="Normal"/>
        <w:numPr>
          <w:ilvl w:val="0"/>
          <w:numId w:val="7"/>
        </w:numPr>
        <w:ind w:hanging="284" w:start="284" w:end="0"/>
        <w:jc w:val="both"/>
        <w:rPr>
          <w:bCs/>
          <w:sz w:val="24"/>
          <w:lang w:val="bg-BG"/>
        </w:rPr>
      </w:pPr>
      <w:r>
        <w:rPr>
          <w:bCs/>
          <w:sz w:val="24"/>
          <w:lang w:val="bg-BG"/>
        </w:rPr>
        <w:t>проверка на документи;</w:t>
      </w:r>
    </w:p>
    <w:p>
      <w:pPr>
        <w:pStyle w:val="Normal"/>
        <w:numPr>
          <w:ilvl w:val="0"/>
          <w:numId w:val="7"/>
        </w:numPr>
        <w:ind w:hanging="284" w:start="284" w:end="0"/>
        <w:jc w:val="both"/>
        <w:rPr>
          <w:bCs/>
          <w:sz w:val="24"/>
          <w:lang w:val="bg-BG"/>
        </w:rPr>
      </w:pPr>
      <w:r>
        <w:rPr>
          <w:bCs/>
          <w:sz w:val="24"/>
          <w:lang w:val="bg-BG"/>
        </w:rPr>
        <w:t>наблюдение на дейности;</w:t>
      </w:r>
    </w:p>
    <w:p>
      <w:pPr>
        <w:pStyle w:val="Normal"/>
        <w:numPr>
          <w:ilvl w:val="0"/>
          <w:numId w:val="7"/>
        </w:numPr>
        <w:ind w:hanging="284" w:start="284" w:end="0"/>
        <w:jc w:val="both"/>
        <w:rPr>
          <w:bCs/>
          <w:sz w:val="24"/>
          <w:lang w:val="bg-BG"/>
        </w:rPr>
      </w:pPr>
      <w:r>
        <w:rPr>
          <w:bCs/>
          <w:sz w:val="24"/>
          <w:lang w:val="bg-BG"/>
        </w:rPr>
        <w:t>наблюдение на условия и изисквания.</w:t>
      </w:r>
    </w:p>
    <w:p>
      <w:pPr>
        <w:pStyle w:val="Normal"/>
        <w:jc w:val="both"/>
        <w:rPr>
          <w:bCs/>
          <w:sz w:val="24"/>
          <w:lang w:val="bg-BG"/>
        </w:rPr>
      </w:pPr>
      <w:r>
        <w:rPr>
          <w:bCs/>
          <w:sz w:val="24"/>
          <w:lang w:val="bg-BG"/>
        </w:rPr>
      </w:r>
    </w:p>
    <w:p>
      <w:pPr>
        <w:pStyle w:val="Normal"/>
        <w:jc w:val="both"/>
        <w:rPr/>
      </w:pPr>
      <w:r>
        <w:rPr>
          <w:bCs/>
          <w:sz w:val="24"/>
          <w:lang w:val="bg-BG"/>
        </w:rPr>
        <w:t>За всяко констатирано несъответствие одиторите съставят „Протокол за несъответствие”, в който отговорникът на одитирания обект предлага коригиращи действия.</w:t>
      </w:r>
    </w:p>
    <w:p>
      <w:pPr>
        <w:pStyle w:val="Normal"/>
        <w:jc w:val="both"/>
        <w:rPr>
          <w:bCs/>
          <w:sz w:val="24"/>
          <w:lang w:val="bg-BG"/>
        </w:rPr>
      </w:pPr>
      <w:r>
        <w:rPr>
          <w:bCs/>
          <w:sz w:val="24"/>
          <w:lang w:val="bg-BG"/>
        </w:rPr>
      </w:r>
    </w:p>
    <w:p>
      <w:pPr>
        <w:pStyle w:val="Normal"/>
        <w:jc w:val="both"/>
        <w:rPr/>
      </w:pPr>
      <w:r>
        <w:rPr>
          <w:bCs/>
          <w:sz w:val="24"/>
          <w:lang w:val="bg-BG"/>
        </w:rPr>
        <w:t xml:space="preserve">Водещият одитор обобщава забелязаните несъответствия в „Доклад от вътрешен одит” и заедно с Протоколите за несъответствие ги предава на Мениджъра на ИС. Резултатите от вътрешните одити служат като входни данни за прегледа, провеждан от ръководството за оценяване на ефективността на системата. </w:t>
      </w:r>
    </w:p>
    <w:p>
      <w:pPr>
        <w:pStyle w:val="Normal"/>
        <w:jc w:val="both"/>
        <w:rPr>
          <w:b/>
          <w:bCs/>
          <w:sz w:val="24"/>
          <w:lang w:val="en-US"/>
        </w:rPr>
      </w:pPr>
      <w:r>
        <w:rPr>
          <w:b/>
          <w:bCs/>
          <w:sz w:val="24"/>
          <w:lang w:val="en-US"/>
        </w:rPr>
      </w:r>
    </w:p>
    <w:p>
      <w:pPr>
        <w:pStyle w:val="Normal"/>
        <w:jc w:val="both"/>
        <w:rPr>
          <w:b/>
          <w:bCs/>
          <w:sz w:val="24"/>
          <w:lang w:val="en-US"/>
        </w:rPr>
      </w:pPr>
      <w:r>
        <w:rPr>
          <w:b/>
          <w:bCs/>
          <w:sz w:val="24"/>
          <w:lang w:val="en-US"/>
        </w:rPr>
      </w:r>
    </w:p>
    <w:p>
      <w:pPr>
        <w:pStyle w:val="Normal"/>
        <w:jc w:val="both"/>
        <w:rPr>
          <w:b/>
          <w:bCs/>
          <w:sz w:val="24"/>
          <w:lang w:val="bg-BG"/>
        </w:rPr>
      </w:pPr>
      <w:r>
        <w:rPr>
          <w:b/>
          <w:bCs/>
          <w:sz w:val="24"/>
          <w:lang w:val="bg-BG"/>
        </w:rPr>
        <w:t>9.3</w:t>
        <w:tab/>
        <w:t>ПРЕГЛЕД ОТ РЪКОВОДСТВОТО</w:t>
      </w:r>
    </w:p>
    <w:p>
      <w:pPr>
        <w:pStyle w:val="Normal"/>
        <w:jc w:val="both"/>
        <w:rPr>
          <w:b/>
          <w:bCs/>
          <w:sz w:val="24"/>
          <w:lang w:val="bg-BG"/>
        </w:rPr>
      </w:pPr>
      <w:r>
        <w:rPr>
          <w:b/>
          <w:bCs/>
          <w:sz w:val="24"/>
          <w:lang w:val="bg-BG"/>
        </w:rPr>
      </w:r>
    </w:p>
    <w:p>
      <w:pPr>
        <w:pStyle w:val="Normal"/>
        <w:jc w:val="both"/>
        <w:rPr>
          <w:b/>
          <w:bCs/>
          <w:sz w:val="24"/>
          <w:lang w:val="bg-BG"/>
        </w:rPr>
      </w:pPr>
      <w:r>
        <w:rPr>
          <w:b/>
          <w:bCs/>
          <w:sz w:val="24"/>
          <w:lang w:val="bg-BG"/>
        </w:rPr>
        <w:t>9.3.1</w:t>
        <w:tab/>
        <w:t>ОБЩИ ПОЛОЖЕНИЯ</w:t>
      </w:r>
    </w:p>
    <w:p>
      <w:pPr>
        <w:pStyle w:val="Normal"/>
        <w:jc w:val="both"/>
        <w:rPr>
          <w:b/>
          <w:bCs/>
          <w:sz w:val="24"/>
          <w:lang w:val="bg-BG"/>
        </w:rPr>
      </w:pPr>
      <w:r>
        <w:rPr>
          <w:b/>
          <w:bCs/>
          <w:sz w:val="24"/>
          <w:lang w:val="bg-BG"/>
        </w:rPr>
      </w:r>
    </w:p>
    <w:p>
      <w:pPr>
        <w:pStyle w:val="Normal"/>
        <w:jc w:val="both"/>
        <w:rPr/>
      </w:pPr>
      <w:r>
        <w:rPr>
          <w:bCs/>
          <w:sz w:val="24"/>
          <w:lang w:val="bg-BG"/>
        </w:rPr>
        <w:t>През планирани интервали висшето ръководство извършва преглед на въведената във фирмата интегрирана система за управление, за да се осигури нейната непрекъсната пригодност, адекватност, ефикасност и съответствие със стратегическата насоченост на организацията. Прегледът от ръководството е средство за осигуряване на постоянно съответствие и ефективност на Системата за управление и за определяне на възможности за подобряване на цялостната дейност. Прегледът от ръководството се извършва поне един път годишно, а при необходимост и по-често.</w:t>
      </w:r>
    </w:p>
    <w:p>
      <w:pPr>
        <w:pStyle w:val="Normal"/>
        <w:jc w:val="both"/>
        <w:rPr>
          <w:bCs/>
          <w:sz w:val="24"/>
          <w:lang w:val="bg-BG"/>
        </w:rPr>
      </w:pPr>
      <w:r>
        <w:rPr>
          <w:bCs/>
          <w:sz w:val="24"/>
          <w:lang w:val="bg-BG"/>
        </w:rPr>
      </w:r>
    </w:p>
    <w:p>
      <w:pPr>
        <w:pStyle w:val="Normal"/>
        <w:jc w:val="both"/>
        <w:rPr/>
      </w:pPr>
      <w:r>
        <w:rPr>
          <w:bCs/>
          <w:sz w:val="24"/>
          <w:lang w:val="bg-BG"/>
        </w:rPr>
        <w:t>Прегледът от ръководството се прави с цел да се установи:</w:t>
      </w:r>
    </w:p>
    <w:p>
      <w:pPr>
        <w:pStyle w:val="Normal"/>
        <w:numPr>
          <w:ilvl w:val="0"/>
          <w:numId w:val="10"/>
        </w:numPr>
        <w:ind w:hanging="284" w:start="284" w:end="0"/>
        <w:jc w:val="both"/>
        <w:rPr>
          <w:bCs/>
          <w:sz w:val="24"/>
          <w:lang w:val="bg-BG"/>
        </w:rPr>
      </w:pPr>
      <w:r>
        <w:rPr>
          <w:bCs/>
          <w:sz w:val="24"/>
          <w:lang w:val="bg-BG"/>
        </w:rPr>
        <w:t>дали Системата за управление функционира правилно;</w:t>
      </w:r>
    </w:p>
    <w:p>
      <w:pPr>
        <w:pStyle w:val="Normal"/>
        <w:numPr>
          <w:ilvl w:val="0"/>
          <w:numId w:val="10"/>
        </w:numPr>
        <w:ind w:hanging="284" w:start="284" w:end="0"/>
        <w:jc w:val="both"/>
        <w:rPr>
          <w:bCs/>
          <w:sz w:val="24"/>
          <w:lang w:val="bg-BG"/>
        </w:rPr>
      </w:pPr>
      <w:r>
        <w:rPr>
          <w:bCs/>
          <w:sz w:val="24"/>
          <w:lang w:val="bg-BG"/>
        </w:rPr>
        <w:t>дали програмата за вътрешни одити е ефективна;</w:t>
      </w:r>
    </w:p>
    <w:p>
      <w:pPr>
        <w:pStyle w:val="Normal"/>
        <w:numPr>
          <w:ilvl w:val="0"/>
          <w:numId w:val="10"/>
        </w:numPr>
        <w:ind w:hanging="284" w:start="284" w:end="0"/>
        <w:jc w:val="both"/>
        <w:rPr>
          <w:bCs/>
          <w:sz w:val="24"/>
          <w:lang w:val="bg-BG"/>
        </w:rPr>
      </w:pPr>
      <w:r>
        <w:rPr>
          <w:bCs/>
          <w:sz w:val="24"/>
          <w:lang w:val="bg-BG"/>
        </w:rPr>
        <w:t>дали изискванията на клиента са задоволени;</w:t>
      </w:r>
    </w:p>
    <w:p>
      <w:pPr>
        <w:pStyle w:val="Normal"/>
        <w:numPr>
          <w:ilvl w:val="0"/>
          <w:numId w:val="10"/>
        </w:numPr>
        <w:ind w:hanging="284" w:start="284" w:end="0"/>
        <w:jc w:val="both"/>
        <w:rPr>
          <w:bCs/>
          <w:sz w:val="24"/>
          <w:lang w:val="bg-BG"/>
        </w:rPr>
      </w:pPr>
      <w:r>
        <w:rPr>
          <w:bCs/>
          <w:sz w:val="24"/>
          <w:lang w:val="bg-BG"/>
        </w:rPr>
        <w:t>дали установените цели са достигнати;</w:t>
      </w:r>
    </w:p>
    <w:p>
      <w:pPr>
        <w:pStyle w:val="Normal"/>
        <w:numPr>
          <w:ilvl w:val="0"/>
          <w:numId w:val="10"/>
        </w:numPr>
        <w:ind w:hanging="284" w:start="284" w:end="0"/>
        <w:jc w:val="both"/>
        <w:rPr>
          <w:bCs/>
          <w:sz w:val="24"/>
          <w:lang w:val="bg-BG"/>
        </w:rPr>
      </w:pPr>
      <w:r>
        <w:rPr>
          <w:bCs/>
          <w:sz w:val="24"/>
          <w:lang w:val="bg-BG"/>
        </w:rPr>
        <w:t>дали има конфликт между политиката, целите и изискванията на клиентите и ЗС;</w:t>
      </w:r>
    </w:p>
    <w:p>
      <w:pPr>
        <w:pStyle w:val="Normal"/>
        <w:numPr>
          <w:ilvl w:val="0"/>
          <w:numId w:val="10"/>
        </w:numPr>
        <w:ind w:hanging="284" w:start="284" w:end="0"/>
        <w:jc w:val="both"/>
        <w:rPr>
          <w:bCs/>
          <w:sz w:val="24"/>
          <w:lang w:val="bg-BG"/>
        </w:rPr>
      </w:pPr>
      <w:r>
        <w:rPr>
          <w:bCs/>
          <w:sz w:val="24"/>
          <w:lang w:val="bg-BG"/>
        </w:rPr>
        <w:t>дали мениджърските решения съответстват на политиката;</w:t>
      </w:r>
    </w:p>
    <w:p>
      <w:pPr>
        <w:pStyle w:val="Normal"/>
        <w:numPr>
          <w:ilvl w:val="0"/>
          <w:numId w:val="10"/>
        </w:numPr>
        <w:ind w:hanging="284" w:start="284" w:end="0"/>
        <w:jc w:val="both"/>
        <w:rPr>
          <w:bCs/>
          <w:sz w:val="24"/>
          <w:lang w:val="bg-BG"/>
        </w:rPr>
      </w:pPr>
      <w:r>
        <w:rPr>
          <w:bCs/>
          <w:sz w:val="24"/>
          <w:lang w:val="bg-BG"/>
        </w:rPr>
        <w:t>дали Системата за управление трябва да бъде променена;</w:t>
      </w:r>
    </w:p>
    <w:p>
      <w:pPr>
        <w:pStyle w:val="Normal"/>
        <w:numPr>
          <w:ilvl w:val="0"/>
          <w:numId w:val="10"/>
        </w:numPr>
        <w:ind w:hanging="284" w:start="284" w:end="0"/>
        <w:jc w:val="both"/>
        <w:rPr>
          <w:bCs/>
          <w:sz w:val="24"/>
          <w:lang w:val="bg-BG"/>
        </w:rPr>
      </w:pPr>
      <w:r>
        <w:rPr>
          <w:bCs/>
          <w:sz w:val="24"/>
          <w:lang w:val="bg-BG"/>
        </w:rPr>
        <w:t>какви са възможностите за подобрения.</w:t>
      </w:r>
    </w:p>
    <w:p>
      <w:pPr>
        <w:pStyle w:val="Normal"/>
        <w:jc w:val="both"/>
        <w:rPr>
          <w:bCs/>
          <w:sz w:val="24"/>
          <w:lang w:val="bg-BG"/>
        </w:rPr>
      </w:pPr>
      <w:r>
        <w:rPr>
          <w:bCs/>
          <w:sz w:val="24"/>
          <w:lang w:val="bg-BG"/>
        </w:rPr>
      </w:r>
    </w:p>
    <w:p>
      <w:pPr>
        <w:pStyle w:val="Normal"/>
        <w:jc w:val="both"/>
        <w:rPr>
          <w:bCs/>
          <w:sz w:val="24"/>
          <w:lang w:val="bg-BG"/>
        </w:rPr>
      </w:pPr>
      <w:r>
        <w:rPr>
          <w:bCs/>
          <w:sz w:val="24"/>
          <w:lang w:val="bg-BG"/>
        </w:rPr>
      </w:r>
    </w:p>
    <w:p>
      <w:pPr>
        <w:pStyle w:val="Normal"/>
        <w:jc w:val="both"/>
        <w:rPr>
          <w:b/>
          <w:bCs/>
          <w:sz w:val="24"/>
          <w:lang w:val="bg-BG"/>
        </w:rPr>
      </w:pPr>
      <w:r>
        <w:rPr>
          <w:b/>
          <w:bCs/>
          <w:sz w:val="24"/>
          <w:lang w:val="bg-BG"/>
        </w:rPr>
        <w:t>9.3.2. ВХОДНИ ЕЛЕМЕНТИ ЗА ПРЕГЛЕДА</w:t>
      </w:r>
    </w:p>
    <w:p>
      <w:pPr>
        <w:pStyle w:val="Normal"/>
        <w:jc w:val="both"/>
        <w:rPr>
          <w:b/>
          <w:bCs/>
          <w:sz w:val="24"/>
          <w:lang w:val="bg-BG"/>
        </w:rPr>
      </w:pPr>
      <w:r>
        <w:rPr>
          <w:b/>
          <w:bCs/>
          <w:sz w:val="24"/>
          <w:lang w:val="bg-BG"/>
        </w:rPr>
      </w:r>
    </w:p>
    <w:p>
      <w:pPr>
        <w:pStyle w:val="Normal"/>
        <w:jc w:val="both"/>
        <w:rPr/>
      </w:pPr>
      <w:r>
        <w:rPr>
          <w:bCs/>
          <w:sz w:val="24"/>
          <w:lang w:val="bg-BG"/>
        </w:rPr>
        <w:t>Мениджърът на ИС подготвя всички документи, необходими за прегледа.</w:t>
      </w:r>
    </w:p>
    <w:p>
      <w:pPr>
        <w:pStyle w:val="Normal"/>
        <w:jc w:val="both"/>
        <w:rPr/>
      </w:pPr>
      <w:r>
        <w:rPr>
          <w:bCs/>
          <w:sz w:val="24"/>
          <w:lang w:val="bg-BG"/>
        </w:rPr>
        <w:t>Входните данни, по които се оценява ефикасността и ефективността на ИС, включват:</w:t>
      </w:r>
    </w:p>
    <w:p>
      <w:pPr>
        <w:pStyle w:val="Normal"/>
        <w:numPr>
          <w:ilvl w:val="0"/>
          <w:numId w:val="8"/>
        </w:numPr>
        <w:ind w:hanging="284" w:start="284" w:end="0"/>
        <w:jc w:val="both"/>
        <w:rPr>
          <w:bCs/>
          <w:sz w:val="24"/>
          <w:lang w:val="bg-BG"/>
        </w:rPr>
      </w:pPr>
      <w:r>
        <w:rPr>
          <w:bCs/>
          <w:sz w:val="24"/>
          <w:lang w:val="bg-BG"/>
        </w:rPr>
        <w:t>документи и записи от проведени вътрешни одити;</w:t>
      </w:r>
    </w:p>
    <w:p>
      <w:pPr>
        <w:pStyle w:val="Normal"/>
        <w:numPr>
          <w:ilvl w:val="0"/>
          <w:numId w:val="8"/>
        </w:numPr>
        <w:ind w:hanging="284" w:start="284" w:end="0"/>
        <w:jc w:val="both"/>
        <w:rPr>
          <w:bCs/>
          <w:sz w:val="24"/>
          <w:lang w:val="bg-BG"/>
        </w:rPr>
      </w:pPr>
      <w:r>
        <w:rPr>
          <w:bCs/>
          <w:sz w:val="24"/>
          <w:lang w:val="bg-BG"/>
        </w:rPr>
        <w:t>резултати от функционирането на процеси;</w:t>
      </w:r>
    </w:p>
    <w:p>
      <w:pPr>
        <w:pStyle w:val="Normal"/>
        <w:numPr>
          <w:ilvl w:val="0"/>
          <w:numId w:val="8"/>
        </w:numPr>
        <w:ind w:hanging="284" w:start="284" w:end="0"/>
        <w:jc w:val="both"/>
        <w:rPr>
          <w:bCs/>
          <w:sz w:val="24"/>
          <w:lang w:val="bg-BG"/>
        </w:rPr>
      </w:pPr>
      <w:r>
        <w:rPr>
          <w:bCs/>
          <w:sz w:val="24"/>
          <w:lang w:val="bg-BG"/>
        </w:rPr>
        <w:t>резултати от съответствието на продукта;</w:t>
      </w:r>
    </w:p>
    <w:p>
      <w:pPr>
        <w:pStyle w:val="Normal"/>
        <w:numPr>
          <w:ilvl w:val="0"/>
          <w:numId w:val="8"/>
        </w:numPr>
        <w:ind w:hanging="284" w:start="284" w:end="0"/>
        <w:jc w:val="both"/>
        <w:rPr>
          <w:bCs/>
          <w:sz w:val="24"/>
          <w:lang w:val="bg-BG"/>
        </w:rPr>
      </w:pPr>
      <w:r>
        <w:rPr>
          <w:bCs/>
          <w:sz w:val="24"/>
          <w:lang w:val="bg-BG"/>
        </w:rPr>
        <w:t>резултати от предишни прегледи на ръководството;</w:t>
      </w:r>
    </w:p>
    <w:p>
      <w:pPr>
        <w:pStyle w:val="Normal"/>
        <w:numPr>
          <w:ilvl w:val="0"/>
          <w:numId w:val="8"/>
        </w:numPr>
        <w:ind w:hanging="284" w:start="284" w:end="0"/>
        <w:jc w:val="both"/>
        <w:rPr>
          <w:bCs/>
          <w:sz w:val="24"/>
          <w:lang w:val="bg-BG"/>
        </w:rPr>
      </w:pPr>
      <w:r>
        <w:rPr>
          <w:bCs/>
          <w:sz w:val="24"/>
          <w:lang w:val="bg-BG"/>
        </w:rPr>
        <w:t>документи за оценяване задоволяването на потребностите на клиента и ЗС;</w:t>
      </w:r>
    </w:p>
    <w:p>
      <w:pPr>
        <w:pStyle w:val="Normal"/>
        <w:numPr>
          <w:ilvl w:val="0"/>
          <w:numId w:val="8"/>
        </w:numPr>
        <w:ind w:hanging="284" w:start="284" w:end="0"/>
        <w:jc w:val="both"/>
        <w:rPr>
          <w:bCs/>
          <w:sz w:val="24"/>
          <w:lang w:val="bg-BG"/>
        </w:rPr>
      </w:pPr>
      <w:r>
        <w:rPr>
          <w:bCs/>
          <w:sz w:val="24"/>
          <w:lang w:val="bg-BG"/>
        </w:rPr>
        <w:t>резултати от преглед на политиката и целите;</w:t>
      </w:r>
    </w:p>
    <w:p>
      <w:pPr>
        <w:pStyle w:val="Normal"/>
        <w:numPr>
          <w:ilvl w:val="0"/>
          <w:numId w:val="8"/>
        </w:numPr>
        <w:ind w:hanging="284" w:start="284" w:end="0"/>
        <w:jc w:val="both"/>
        <w:rPr>
          <w:bCs/>
          <w:sz w:val="24"/>
          <w:lang w:val="bg-BG"/>
        </w:rPr>
      </w:pPr>
      <w:r>
        <w:rPr>
          <w:bCs/>
          <w:sz w:val="24"/>
          <w:lang w:val="bg-BG"/>
        </w:rPr>
        <w:t>резултати от проведени коригиращи и превантивни действия;</w:t>
      </w:r>
    </w:p>
    <w:p>
      <w:pPr>
        <w:pStyle w:val="Normal"/>
        <w:numPr>
          <w:ilvl w:val="0"/>
          <w:numId w:val="8"/>
        </w:numPr>
        <w:ind w:hanging="284" w:start="284" w:end="0"/>
        <w:jc w:val="both"/>
        <w:rPr>
          <w:bCs/>
          <w:sz w:val="24"/>
          <w:lang w:val="bg-BG"/>
        </w:rPr>
      </w:pPr>
      <w:r>
        <w:rPr>
          <w:bCs/>
          <w:sz w:val="24"/>
          <w:lang w:val="bg-BG"/>
        </w:rPr>
        <w:t>възможности за подобрения.</w:t>
      </w:r>
    </w:p>
    <w:p>
      <w:pPr>
        <w:pStyle w:val="Normal"/>
        <w:jc w:val="both"/>
        <w:rPr>
          <w:bCs/>
          <w:sz w:val="24"/>
          <w:lang w:val="bg-BG"/>
        </w:rPr>
      </w:pPr>
      <w:r>
        <w:rPr>
          <w:bCs/>
          <w:sz w:val="24"/>
          <w:lang w:val="bg-BG"/>
        </w:rPr>
      </w:r>
    </w:p>
    <w:p>
      <w:pPr>
        <w:pStyle w:val="Normal"/>
        <w:jc w:val="both"/>
        <w:rPr>
          <w:bCs/>
          <w:sz w:val="24"/>
          <w:lang w:val="bg-BG"/>
        </w:rPr>
      </w:pPr>
      <w:r>
        <w:rPr>
          <w:bCs/>
          <w:sz w:val="24"/>
          <w:lang w:val="bg-BG"/>
        </w:rPr>
      </w:r>
    </w:p>
    <w:p>
      <w:pPr>
        <w:pStyle w:val="Normal"/>
        <w:jc w:val="both"/>
        <w:rPr>
          <w:b/>
          <w:bCs/>
          <w:sz w:val="24"/>
          <w:lang w:val="bg-BG"/>
        </w:rPr>
      </w:pPr>
      <w:r>
        <w:rPr>
          <w:b/>
          <w:bCs/>
          <w:sz w:val="24"/>
          <w:lang w:val="bg-BG"/>
        </w:rPr>
        <w:t>9.3.3. ИЗХОДНИ ЕЛЕМЕНТИ ОТ ПРЕГЛЕДА</w:t>
      </w:r>
    </w:p>
    <w:p>
      <w:pPr>
        <w:pStyle w:val="Normal"/>
        <w:jc w:val="both"/>
        <w:rPr>
          <w:b/>
          <w:bCs/>
          <w:sz w:val="24"/>
          <w:lang w:val="bg-BG"/>
        </w:rPr>
      </w:pPr>
      <w:r>
        <w:rPr>
          <w:b/>
          <w:bCs/>
          <w:sz w:val="24"/>
          <w:lang w:val="bg-BG"/>
        </w:rPr>
      </w:r>
    </w:p>
    <w:p>
      <w:pPr>
        <w:pStyle w:val="Normal"/>
        <w:jc w:val="both"/>
        <w:rPr/>
      </w:pPr>
      <w:r>
        <w:rPr>
          <w:bCs/>
          <w:sz w:val="24"/>
          <w:lang w:val="bg-BG"/>
        </w:rPr>
        <w:t xml:space="preserve">Мениджърът на ИС документира резултата в Протокол за проведен преглед от ръководството, който съдържа констатации по предоставените входни данни и решения и действия, които са предпоставка за подобрения в процесите и в Системата за управление. </w:t>
      </w:r>
    </w:p>
    <w:p>
      <w:pPr>
        <w:pStyle w:val="Normal"/>
        <w:jc w:val="both"/>
        <w:rPr>
          <w:bCs/>
          <w:sz w:val="24"/>
          <w:lang w:val="bg-BG"/>
        </w:rPr>
      </w:pPr>
      <w:r>
        <w:rPr>
          <w:bCs/>
          <w:sz w:val="24"/>
          <w:lang w:val="bg-BG"/>
        </w:rPr>
      </w:r>
    </w:p>
    <w:p>
      <w:pPr>
        <w:pStyle w:val="Normal"/>
        <w:jc w:val="both"/>
        <w:rPr/>
      </w:pPr>
      <w:r>
        <w:rPr>
          <w:bCs/>
          <w:sz w:val="24"/>
          <w:lang w:val="bg-BG"/>
        </w:rPr>
        <w:t>Протоколите  за прегледи се съхраняват от Мениджър ИС за срок от пет години.</w:t>
      </w:r>
    </w:p>
    <w:sectPr>
      <w:headerReference w:type="default" r:id="rId2"/>
      <w:headerReference w:type="first" r:id="rId3"/>
      <w:footerReference w:type="default" r:id="rId4"/>
      <w:footerReference w:type="first" r:id="rId5"/>
      <w:type w:val="nextPage"/>
      <w:pgSz w:w="11906" w:h="16838"/>
      <w:pgMar w:left="1588" w:right="708" w:gutter="0" w:header="624" w:top="680" w:footer="567"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 w:name="Courier New">
    <w:charset w:val="cc" w:characterSet="windows-125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81" w:type="dxa"/>
      <w:jc w:val="start"/>
      <w:tblInd w:w="108" w:type="dxa"/>
      <w:tblLayout w:type="fixed"/>
      <w:tblCellMar>
        <w:top w:w="0" w:type="dxa"/>
        <w:start w:w="108" w:type="dxa"/>
        <w:bottom w:w="0" w:type="dxa"/>
        <w:end w:w="108" w:type="dxa"/>
      </w:tblCellMar>
    </w:tblPr>
    <w:tblGrid>
      <w:gridCol w:w="8080"/>
      <w:gridCol w:w="850"/>
      <w:gridCol w:w="851"/>
    </w:tblGrid>
    <w:tr>
      <w:trPr>
        <w:trHeight w:val="240" w:hRule="atLeast"/>
        <w:cantSplit/>
      </w:trPr>
      <w:tc>
        <w:tcPr>
          <w:tcW w:w="9781" w:type="dxa"/>
          <w:gridSpan w:val="3"/>
          <w:tcBorders>
            <w:top w:val="single" w:sz="12" w:space="0" w:color="000000"/>
            <w:start w:val="single" w:sz="12" w:space="0" w:color="000000"/>
            <w:bottom w:val="single" w:sz="12" w:space="0" w:color="000000"/>
            <w:end w:val="single" w:sz="12" w:space="0" w:color="000000"/>
          </w:tcBorders>
        </w:tcPr>
        <w:p>
          <w:pPr>
            <w:pStyle w:val="Header"/>
            <w:widowControl/>
            <w:jc w:val="center"/>
            <w:rPr>
              <w:lang w:val="bg-BG"/>
            </w:rPr>
          </w:pPr>
          <w:r>
            <w:rPr>
              <w:b/>
              <w:lang w:val="bg-BG"/>
            </w:rPr>
            <w:t>НАРЪЧНИК НА ИС</w:t>
          </w:r>
        </w:p>
      </w:tc>
    </w:tr>
    <w:tr>
      <w:trPr>
        <w:trHeight w:val="360" w:hRule="atLeast"/>
        <w:cantSplit/>
      </w:trPr>
      <w:tc>
        <w:tcPr>
          <w:tcW w:w="8080" w:type="dxa"/>
          <w:vMerge w:val="restart"/>
          <w:tcBorders>
            <w:top w:val="single" w:sz="12" w:space="0" w:color="000000"/>
            <w:start w:val="single" w:sz="12" w:space="0" w:color="000000"/>
            <w:bottom w:val="single" w:sz="6" w:space="0" w:color="000000"/>
            <w:end w:val="single" w:sz="12" w:space="0" w:color="000000"/>
          </w:tcBorders>
          <w:vAlign w:val="center"/>
        </w:tcPr>
        <w:p>
          <w:pPr>
            <w:pStyle w:val="Header"/>
            <w:widowControl/>
            <w:jc w:val="center"/>
            <w:rPr>
              <w:b/>
              <w:lang w:val="bg-BG"/>
            </w:rPr>
          </w:pPr>
          <w:r>
            <w:rPr>
              <w:b/>
              <w:lang w:val="bg-BG"/>
            </w:rPr>
            <w:t>Раздел 9</w:t>
          </w:r>
        </w:p>
        <w:p>
          <w:pPr>
            <w:pStyle w:val="Header"/>
            <w:widowControl/>
            <w:jc w:val="center"/>
            <w:rPr>
              <w:b/>
              <w:lang w:val="bg-BG"/>
            </w:rPr>
          </w:pPr>
          <w:r>
            <w:rPr>
              <w:b/>
              <w:lang w:val="bg-BG"/>
            </w:rPr>
            <w:t>ОЦЕНЯВАНЕ НА РЕЗУЛТАТНОСТТА</w:t>
          </w:r>
        </w:p>
      </w:tc>
      <w:tc>
        <w:tcPr>
          <w:tcW w:w="850" w:type="dxa"/>
          <w:tcBorders>
            <w:top w:val="single" w:sz="12" w:space="0" w:color="000000"/>
            <w:start w:val="single" w:sz="12" w:space="0" w:color="000000"/>
            <w:bottom w:val="single" w:sz="12" w:space="0" w:color="000000"/>
            <w:end w:val="single" w:sz="12" w:space="0" w:color="000000"/>
          </w:tcBorders>
        </w:tcPr>
        <w:p>
          <w:pPr>
            <w:pStyle w:val="Header"/>
            <w:widowControl/>
            <w:rPr>
              <w:lang w:val="bg-BG"/>
            </w:rPr>
          </w:pPr>
          <w:r>
            <w:rPr>
              <w:lang w:val="bg-BG"/>
            </w:rPr>
            <w:t>Версия</w:t>
          </w:r>
        </w:p>
      </w:tc>
      <w:tc>
        <w:tcPr>
          <w:tcW w:w="851" w:type="dxa"/>
          <w:tcBorders>
            <w:top w:val="single" w:sz="12" w:space="0" w:color="000000"/>
            <w:start w:val="single" w:sz="12" w:space="0" w:color="000000"/>
            <w:bottom w:val="single" w:sz="12" w:space="0" w:color="000000"/>
            <w:end w:val="single" w:sz="12" w:space="0" w:color="000000"/>
          </w:tcBorders>
        </w:tcPr>
        <w:p>
          <w:pPr>
            <w:pStyle w:val="Header"/>
            <w:widowControl/>
            <w:jc w:val="center"/>
            <w:rPr>
              <w:lang w:val="bg-BG"/>
            </w:rPr>
          </w:pPr>
          <w:r>
            <w:rPr>
              <w:lang w:val="bg-BG"/>
            </w:rPr>
            <w:t>01</w:t>
          </w:r>
        </w:p>
      </w:tc>
    </w:tr>
    <w:tr>
      <w:trPr>
        <w:trHeight w:val="360" w:hRule="atLeast"/>
        <w:cantSplit/>
      </w:trPr>
      <w:tc>
        <w:tcPr>
          <w:tcW w:w="8080" w:type="dxa"/>
          <w:vMerge w:val="continue"/>
          <w:tcBorders>
            <w:top w:val="single" w:sz="12" w:space="0" w:color="000000"/>
            <w:start w:val="single" w:sz="12" w:space="0" w:color="000000"/>
            <w:bottom w:val="single" w:sz="6" w:space="0" w:color="000000"/>
            <w:end w:val="single" w:sz="12" w:space="0" w:color="000000"/>
          </w:tcBorders>
          <w:vAlign w:val="center"/>
        </w:tcPr>
        <w:p>
          <w:pPr>
            <w:pStyle w:val="Header"/>
            <w:widowControl/>
            <w:snapToGrid w:val="false"/>
            <w:jc w:val="center"/>
            <w:rPr>
              <w:b/>
              <w:lang w:val="bg-BG"/>
            </w:rPr>
          </w:pPr>
          <w:r>
            <w:rPr>
              <w:b/>
              <w:lang w:val="bg-BG"/>
            </w:rPr>
          </w:r>
        </w:p>
      </w:tc>
      <w:tc>
        <w:tcPr>
          <w:tcW w:w="850"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Стр.</w:t>
          </w:r>
        </w:p>
      </w:tc>
      <w:tc>
        <w:tcPr>
          <w:tcW w:w="851" w:type="dxa"/>
          <w:tcBorders>
            <w:top w:val="single" w:sz="12" w:space="0" w:color="000000"/>
            <w:start w:val="single" w:sz="12" w:space="0" w:color="000000"/>
            <w:bottom w:val="single" w:sz="6" w:space="0" w:color="000000"/>
            <w:end w:val="single" w:sz="12" w:space="0" w:color="000000"/>
          </w:tcBorders>
        </w:tcPr>
        <w:p>
          <w:pPr>
            <w:pStyle w:val="Header"/>
            <w:widowControl/>
            <w:jc w:val="center"/>
            <w:rPr>
              <w:rStyle w:val="PageNumber"/>
              <w:bCs/>
              <w:lang w:val="bg-BG"/>
            </w:rPr>
          </w:pPr>
          <w:r>
            <w:rPr>
              <w:rStyle w:val="PageNumber"/>
              <w:bCs/>
            </w:rPr>
            <w:fldChar w:fldCharType="begin"/>
          </w:r>
          <w:r>
            <w:rPr>
              <w:rStyle w:val="PageNumber"/>
              <w:bCs/>
            </w:rPr>
            <w:instrText xml:space="preserve"> PAGE </w:instrText>
          </w:r>
          <w:r>
            <w:rPr>
              <w:rStyle w:val="PageNumber"/>
              <w:bCs/>
            </w:rPr>
            <w:fldChar w:fldCharType="separate"/>
          </w:r>
          <w:r>
            <w:rPr>
              <w:rStyle w:val="PageNumber"/>
              <w:bCs/>
            </w:rPr>
            <w:t>4</w:t>
          </w:r>
          <w:r>
            <w:rPr>
              <w:rStyle w:val="PageNumber"/>
              <w:bCs/>
            </w:rPr>
            <w:fldChar w:fldCharType="end"/>
          </w:r>
          <w:r>
            <w:rPr>
              <w:lang w:val="bg-BG"/>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4</w:t>
          </w:r>
          <w:r>
            <w:rPr>
              <w:rStyle w:val="PageNumber"/>
            </w:rPr>
            <w:fldChar w:fldCharType="end"/>
          </w:r>
        </w:p>
      </w:tc>
    </w:tr>
  </w:tbl>
  <w:p>
    <w:pPr>
      <w:pStyle w:val="Header"/>
      <w:rPr>
        <w:rStyle w:val="PageNumber"/>
        <w:bCs/>
        <w:lang w:val="bg-BG"/>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7" w:type="dxa"/>
      <w:jc w:val="start"/>
      <w:tblInd w:w="0" w:type="dxa"/>
      <w:tblLayout w:type="fixed"/>
      <w:tblCellMar>
        <w:top w:w="0" w:type="dxa"/>
        <w:start w:w="108" w:type="dxa"/>
        <w:bottom w:w="0" w:type="dxa"/>
        <w:end w:w="108" w:type="dxa"/>
      </w:tblCellMar>
    </w:tblPr>
    <w:tblGrid>
      <w:gridCol w:w="2943"/>
      <w:gridCol w:w="4536"/>
      <w:gridCol w:w="993"/>
      <w:gridCol w:w="1275"/>
    </w:tblGrid>
    <w:tr>
      <w:trPr>
        <w:cantSplit/>
      </w:trPr>
      <w:tc>
        <w:tcPr>
          <w:tcW w:w="2943" w:type="dxa"/>
          <w:vMerge w:val="restart"/>
          <w:tcBorders>
            <w:top w:val="single" w:sz="12" w:space="0" w:color="000000"/>
            <w:start w:val="single" w:sz="12" w:space="0" w:color="000000"/>
            <w:end w:val="single" w:sz="12" w:space="0" w:color="000000"/>
          </w:tcBorders>
          <w:vAlign w:val="center"/>
        </w:tcPr>
        <w:p>
          <w:pPr>
            <w:pStyle w:val="Normal"/>
            <w:jc w:val="center"/>
            <w:rPr>
              <w:b/>
              <w:lang w:val="en-US"/>
            </w:rPr>
          </w:pPr>
          <w:r>
            <w:rPr>
              <w:b/>
              <w:sz w:val="24"/>
              <w:szCs w:val="24"/>
              <w:lang w:val="en-US"/>
            </w:rPr>
            <w:t>„</w:t>
          </w:r>
          <w:r>
            <w:rPr>
              <w:b/>
              <w:sz w:val="24"/>
              <w:szCs w:val="24"/>
              <w:lang w:val="bg-BG"/>
            </w:rPr>
            <w:t>Витоша газ</w:t>
          </w:r>
          <w:r>
            <w:rPr>
              <w:b/>
              <w:sz w:val="24"/>
              <w:szCs w:val="24"/>
              <w:lang w:val="en-US"/>
            </w:rPr>
            <w:t xml:space="preserve">“  </w:t>
          </w:r>
          <w:r>
            <w:rPr>
              <w:b/>
              <w:sz w:val="24"/>
              <w:szCs w:val="24"/>
              <w:lang w:val="bg-BG"/>
            </w:rPr>
            <w:t>Е</w:t>
          </w:r>
          <w:r>
            <w:rPr>
              <w:b/>
              <w:sz w:val="24"/>
              <w:szCs w:val="24"/>
              <w:lang w:val="en-US"/>
            </w:rPr>
            <w:t>ООД</w:t>
          </w:r>
        </w:p>
      </w:tc>
      <w:tc>
        <w:tcPr>
          <w:tcW w:w="4536" w:type="dxa"/>
          <w:tcBorders>
            <w:top w:val="single" w:sz="12" w:space="0" w:color="000000"/>
            <w:bottom w:val="single" w:sz="6" w:space="0" w:color="000000"/>
            <w:end w:val="single" w:sz="12" w:space="0" w:color="000000"/>
          </w:tcBorders>
        </w:tcPr>
        <w:p>
          <w:pPr>
            <w:pStyle w:val="Normal"/>
            <w:jc w:val="center"/>
            <w:rPr>
              <w:b/>
            </w:rPr>
          </w:pPr>
          <w:r>
            <w:rPr>
              <w:b/>
            </w:rPr>
            <w:t>НАРЪЧНИК</w:t>
          </w:r>
        </w:p>
        <w:p>
          <w:pPr>
            <w:pStyle w:val="Normal"/>
            <w:jc w:val="center"/>
            <w:rPr>
              <w:b/>
              <w:lang w:val="bg-BG"/>
            </w:rPr>
          </w:pPr>
          <w:r>
            <w:rPr>
              <w:b/>
              <w:lang w:val="bg-BG"/>
            </w:rPr>
            <w:t>на</w:t>
          </w:r>
          <w:r>
            <w:rPr>
              <w:b/>
            </w:rPr>
            <w:t xml:space="preserve"> </w:t>
          </w:r>
          <w:r>
            <w:rPr>
              <w:b/>
              <w:lang w:val="bg-BG"/>
            </w:rPr>
            <w:t>Интегрирана система за управление</w:t>
          </w:r>
        </w:p>
      </w:tc>
      <w:tc>
        <w:tcPr>
          <w:tcW w:w="993" w:type="dxa"/>
          <w:vMerge w:val="restart"/>
          <w:tcBorders>
            <w:top w:val="single" w:sz="12" w:space="0" w:color="000000"/>
            <w:bottom w:val="single" w:sz="6" w:space="0" w:color="000000"/>
            <w:end w:val="single" w:sz="6" w:space="0" w:color="000000"/>
          </w:tcBorders>
          <w:vAlign w:val="center"/>
        </w:tcPr>
        <w:p>
          <w:pPr>
            <w:pStyle w:val="Normal"/>
            <w:tabs>
              <w:tab w:val="clear" w:pos="720"/>
              <w:tab w:val="center" w:pos="4153" w:leader="none"/>
              <w:tab w:val="right" w:pos="8306" w:leader="none"/>
            </w:tabs>
            <w:jc w:val="end"/>
            <w:rPr>
              <w:lang w:val="bg-BG"/>
            </w:rPr>
          </w:pPr>
          <w:r>
            <w:rPr>
              <w:lang w:val="bg-BG"/>
            </w:rPr>
            <w:t>Версия</w:t>
          </w:r>
        </w:p>
      </w:tc>
      <w:tc>
        <w:tcPr>
          <w:tcW w:w="1275" w:type="dxa"/>
          <w:vMerge w:val="restart"/>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jc w:val="center"/>
            <w:rPr/>
          </w:pPr>
          <w:r>
            <w:rPr>
              <w:lang w:val="bg-BG"/>
            </w:rPr>
            <w:t>0</w:t>
          </w:r>
          <w:r>
            <w:rPr>
              <w:lang w:val="en-US"/>
            </w:rPr>
            <w:t>1</w:t>
          </w:r>
        </w:p>
      </w:tc>
    </w:tr>
    <w:tr>
      <w:trPr>
        <w:cantSplit/>
      </w:trPr>
      <w:tc>
        <w:tcPr>
          <w:tcW w:w="2943" w:type="dxa"/>
          <w:vMerge w:val="continue"/>
          <w:tcBorders>
            <w:top w:val="single" w:sz="12" w:space="0" w:color="000000"/>
            <w:start w:val="single" w:sz="12" w:space="0" w:color="000000"/>
            <w:end w:val="single" w:sz="12" w:space="0" w:color="000000"/>
          </w:tcBorders>
          <w:vAlign w:val="center"/>
        </w:tcPr>
        <w:p>
          <w:pPr>
            <w:pStyle w:val="Normal"/>
            <w:tabs>
              <w:tab w:val="clear" w:pos="720"/>
              <w:tab w:val="center" w:pos="4153" w:leader="none"/>
              <w:tab w:val="right" w:pos="8306" w:leader="none"/>
            </w:tabs>
            <w:snapToGrid w:val="false"/>
            <w:jc w:val="center"/>
            <w:rPr>
              <w:lang w:val="en-US"/>
            </w:rPr>
          </w:pPr>
          <w:r>
            <w:rPr>
              <w:lang w:val="en-US"/>
            </w:rPr>
          </w:r>
        </w:p>
      </w:tc>
      <w:tc>
        <w:tcPr>
          <w:tcW w:w="4536" w:type="dxa"/>
          <w:tcBorders>
            <w:top w:val="single" w:sz="6" w:space="0" w:color="000000"/>
            <w:bottom w:val="single" w:sz="12" w:space="0" w:color="000000"/>
            <w:end w:val="single" w:sz="12" w:space="0" w:color="000000"/>
          </w:tcBorders>
        </w:tcPr>
        <w:p>
          <w:pPr>
            <w:pStyle w:val="Normal"/>
            <w:jc w:val="center"/>
            <w:rPr>
              <w:lang w:val="en-US"/>
            </w:rPr>
          </w:pPr>
          <w:r>
            <w:rPr/>
            <w:t>ISO 9001, ISO 14001</w:t>
          </w:r>
          <w:r>
            <w:rPr>
              <w:lang w:val="bg-BG"/>
            </w:rPr>
            <w:t xml:space="preserve">, </w:t>
          </w:r>
          <w:r>
            <w:rPr>
              <w:lang w:val="en-US"/>
            </w:rPr>
            <w:t>ISO 45001</w:t>
          </w:r>
        </w:p>
      </w:tc>
      <w:tc>
        <w:tcPr>
          <w:tcW w:w="993" w:type="dxa"/>
          <w:vMerge w:val="continue"/>
          <w:tcBorders>
            <w:top w:val="single" w:sz="12" w:space="0" w:color="000000"/>
            <w:bottom w:val="single" w:sz="6" w:space="0" w:color="000000"/>
            <w:end w:val="single" w:sz="6" w:space="0" w:color="000000"/>
          </w:tcBorders>
          <w:vAlign w:val="center"/>
        </w:tcPr>
        <w:p>
          <w:pPr>
            <w:pStyle w:val="Normal"/>
            <w:widowControl/>
            <w:tabs>
              <w:tab w:val="clear" w:pos="720"/>
              <w:tab w:val="center" w:pos="4153" w:leader="none"/>
              <w:tab w:val="right" w:pos="8306" w:leader="none"/>
            </w:tabs>
            <w:snapToGrid w:val="false"/>
            <w:jc w:val="end"/>
            <w:rPr>
              <w:lang w:val="bg-BG"/>
            </w:rPr>
          </w:pPr>
          <w:r>
            <w:rPr>
              <w:lang w:val="bg-BG"/>
            </w:rPr>
          </w:r>
        </w:p>
      </w:tc>
      <w:tc>
        <w:tcPr>
          <w:tcW w:w="1275" w:type="dxa"/>
          <w:vMerge w:val="continue"/>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lang w:val="bg-BG"/>
            </w:rPr>
          </w:pPr>
          <w:r>
            <w:rPr>
              <w:lang w:val="bg-BG"/>
            </w:rPr>
          </w:r>
        </w:p>
      </w:tc>
    </w:tr>
    <w:tr>
      <w:trPr>
        <w:trHeight w:val="465" w:hRule="atLeast"/>
        <w:cantSplit/>
      </w:trPr>
      <w:tc>
        <w:tcPr>
          <w:tcW w:w="2943" w:type="dxa"/>
          <w:vMerge w:val="continue"/>
          <w:tcBorders>
            <w:top w:val="single" w:sz="12" w:space="0" w:color="000000"/>
            <w:start w:val="single" w:sz="12"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lang w:val="bg-BG"/>
            </w:rPr>
          </w:pPr>
          <w:r>
            <w:rPr>
              <w:lang w:val="bg-BG"/>
            </w:rPr>
          </w:r>
        </w:p>
      </w:tc>
      <w:tc>
        <w:tcPr>
          <w:tcW w:w="4536" w:type="dxa"/>
          <w:vMerge w:val="restart"/>
          <w:tcBorders>
            <w:top w:val="single" w:sz="12" w:space="0" w:color="000000"/>
            <w:bottom w:val="single" w:sz="6" w:space="0" w:color="000000"/>
            <w:end w:val="single" w:sz="12" w:space="0" w:color="000000"/>
          </w:tcBorders>
          <w:vAlign w:val="center"/>
        </w:tcPr>
        <w:p>
          <w:pPr>
            <w:pStyle w:val="Header"/>
            <w:widowControl/>
            <w:jc w:val="center"/>
            <w:rPr>
              <w:b/>
              <w:lang w:val="en-US"/>
            </w:rPr>
          </w:pPr>
          <w:r>
            <w:rPr>
              <w:b/>
              <w:lang w:val="bg-BG"/>
            </w:rPr>
            <w:t xml:space="preserve">Раздел </w:t>
          </w:r>
          <w:r>
            <w:rPr>
              <w:b/>
              <w:lang w:val="en-US"/>
            </w:rPr>
            <w:t>9</w:t>
          </w:r>
        </w:p>
        <w:p>
          <w:pPr>
            <w:pStyle w:val="Normal"/>
            <w:jc w:val="center"/>
            <w:rPr>
              <w:b/>
              <w:lang w:val="en-US"/>
            </w:rPr>
          </w:pPr>
          <w:r>
            <w:rPr>
              <w:b/>
              <w:lang w:val="bg-BG"/>
            </w:rPr>
            <w:t>ОЦЕНЯВАНЕ НА РЕЗУЛТАТНОСТТА</w:t>
          </w:r>
        </w:p>
      </w:tc>
      <w:tc>
        <w:tcPr>
          <w:tcW w:w="993" w:type="dxa"/>
          <w:tcBorders>
            <w:top w:val="single" w:sz="12" w:space="0" w:color="000000"/>
            <w:bottom w:val="single" w:sz="6" w:space="0" w:color="000000"/>
            <w:end w:val="single" w:sz="6" w:space="0" w:color="000000"/>
          </w:tcBorders>
          <w:vAlign w:val="center"/>
        </w:tcPr>
        <w:p>
          <w:pPr>
            <w:pStyle w:val="Normal"/>
            <w:widowControl/>
            <w:tabs>
              <w:tab w:val="clear" w:pos="720"/>
              <w:tab w:val="center" w:pos="4153" w:leader="none"/>
              <w:tab w:val="right" w:pos="8306" w:leader="none"/>
            </w:tabs>
            <w:jc w:val="end"/>
            <w:rPr>
              <w:lang w:val="bg-BG"/>
            </w:rPr>
          </w:pPr>
          <w:r>
            <w:rPr>
              <w:lang w:val="bg-BG"/>
            </w:rPr>
            <w:t>Стр.</w:t>
          </w:r>
        </w:p>
      </w:tc>
      <w:tc>
        <w:tcPr>
          <w:tcW w:w="1275" w:type="dxa"/>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jc w:val="center"/>
            <w:rPr>
              <w:lang w:val="bg-BG"/>
            </w:rPr>
          </w:pPr>
          <w:r>
            <w:rPr>
              <w:lang w:val="en-US"/>
            </w:rPr>
            <w:t>1/4</w:t>
          </w:r>
        </w:p>
      </w:tc>
    </w:tr>
    <w:tr>
      <w:trPr>
        <w:trHeight w:val="465" w:hRule="atLeast"/>
        <w:cantSplit/>
      </w:trPr>
      <w:tc>
        <w:tcPr>
          <w:tcW w:w="2943" w:type="dxa"/>
          <w:vMerge w:val="continue"/>
          <w:tcBorders>
            <w:top w:val="single" w:sz="12" w:space="0" w:color="000000"/>
            <w:start w:val="single" w:sz="12"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b/>
              <w:i/>
              <w:color w:val="008080"/>
              <w:lang w:val="en-US"/>
            </w:rPr>
          </w:pPr>
          <w:r>
            <w:rPr>
              <w:b/>
              <w:i/>
              <w:color w:val="008080"/>
              <w:lang w:val="en-US"/>
            </w:rPr>
          </w:r>
        </w:p>
      </w:tc>
      <w:tc>
        <w:tcPr>
          <w:tcW w:w="4536" w:type="dxa"/>
          <w:vMerge w:val="continue"/>
          <w:tcBorders>
            <w:top w:val="single" w:sz="12"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b/>
              <w:i/>
              <w:color w:val="008080"/>
              <w:lang w:val="bg-BG"/>
            </w:rPr>
          </w:pPr>
          <w:r>
            <w:rPr>
              <w:b/>
              <w:i/>
              <w:color w:val="008080"/>
              <w:lang w:val="bg-BG"/>
            </w:rPr>
          </w:r>
        </w:p>
      </w:tc>
      <w:tc>
        <w:tcPr>
          <w:tcW w:w="993" w:type="dxa"/>
          <w:tcBorders>
            <w:top w:val="single" w:sz="6" w:space="0" w:color="000000"/>
            <w:bottom w:val="single" w:sz="12" w:space="0" w:color="000000"/>
            <w:end w:val="single" w:sz="6" w:space="0" w:color="000000"/>
          </w:tcBorders>
          <w:vAlign w:val="center"/>
        </w:tcPr>
        <w:p>
          <w:pPr>
            <w:pStyle w:val="Normal"/>
            <w:widowControl/>
            <w:tabs>
              <w:tab w:val="clear" w:pos="720"/>
              <w:tab w:val="center" w:pos="4153" w:leader="none"/>
              <w:tab w:val="right" w:pos="8306" w:leader="none"/>
            </w:tabs>
            <w:jc w:val="end"/>
            <w:rPr>
              <w:lang w:val="bg-BG"/>
            </w:rPr>
          </w:pPr>
          <w:r>
            <w:rPr>
              <w:lang w:val="bg-BG"/>
            </w:rPr>
            <w:t>Дата на изд./изм.</w:t>
          </w:r>
        </w:p>
      </w:tc>
      <w:tc>
        <w:tcPr>
          <w:tcW w:w="1275" w:type="dxa"/>
          <w:tcBorders>
            <w:top w:val="single" w:sz="6" w:space="0" w:color="000000"/>
            <w:start w:val="single" w:sz="6" w:space="0" w:color="000000"/>
            <w:bottom w:val="single" w:sz="12" w:space="0" w:color="000000"/>
            <w:end w:val="single" w:sz="12" w:space="0" w:color="000000"/>
          </w:tcBorders>
          <w:vAlign w:val="center"/>
        </w:tcPr>
        <w:p>
          <w:pPr>
            <w:pStyle w:val="Normal"/>
            <w:widowControl/>
            <w:tabs>
              <w:tab w:val="clear" w:pos="720"/>
              <w:tab w:val="center" w:pos="4153" w:leader="none"/>
              <w:tab w:val="right" w:pos="8306" w:leader="none"/>
            </w:tabs>
            <w:jc w:val="center"/>
            <w:rPr>
              <w:lang w:val="bg-BG"/>
            </w:rPr>
          </w:pPr>
          <w:r>
            <w:rPr>
              <w:lang w:val="bg-BG"/>
            </w:rPr>
            <w:t>07.11.2019</w:t>
          </w:r>
        </w:p>
      </w:tc>
    </w:tr>
  </w:tbl>
  <w:p>
    <w:pPr>
      <w:pStyle w:val="Header"/>
      <w:widowControl/>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502"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1800" w:hanging="360"/>
      </w:pPr>
      <w:rPr>
        <w:rFonts w:ascii="Symbol" w:hAnsi="Symbol" w:cs="Symbol" w:hint="default"/>
      </w:rPr>
    </w:lvl>
  </w:abstractNum>
  <w:abstractNum w:abstractNumId="8">
    <w:lvl w:ilvl="0">
      <w:start w:val="1"/>
      <w:numFmt w:val="bullet"/>
      <w:lvlText w:val=""/>
      <w:lvlJc w:val="start"/>
      <w:pPr>
        <w:tabs>
          <w:tab w:val="num" w:pos="0"/>
        </w:tabs>
        <w:ind w:start="180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180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18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widowControl/>
      <w:numPr>
        <w:ilvl w:val="1"/>
        <w:numId w:val="1"/>
      </w:numPr>
      <w:jc w:val="both"/>
      <w:outlineLvl w:val="1"/>
    </w:pPr>
    <w:rPr>
      <w:sz w:val="24"/>
      <w:lang w:val="bg-BG"/>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Times New Roman" w:hAnsi="Times New Roman" w:eastAsia="Times New Roman" w:cs="Times New Roman"/>
    </w:rPr>
  </w:style>
  <w:style w:type="character" w:styleId="WW8Num4z2">
    <w:name w:val="WW8Num4z2"/>
    <w:qFormat/>
    <w:rPr>
      <w:rFonts w:ascii="Wingdings" w:hAnsi="Wingdings" w:cs="Wingdings"/>
    </w:rPr>
  </w:style>
  <w:style w:type="character" w:styleId="WW8Num4z4">
    <w:name w:val="WW8Num4z4"/>
    <w:qFormat/>
    <w:rPr>
      <w:rFonts w:ascii="Courier New" w:hAnsi="Courier New" w:cs="Courier New"/>
    </w:rPr>
  </w:style>
  <w:style w:type="character" w:styleId="WW8Num5z0">
    <w:name w:val="WW8Num5z0"/>
    <w:qFormat/>
    <w:rPr>
      <w:rFonts w:ascii="Symbol" w:hAnsi="Symbol" w:cs="Symbol"/>
    </w:rPr>
  </w:style>
  <w:style w:type="character" w:styleId="WW8Num5z2">
    <w:name w:val="WW8Num5z2"/>
    <w:qFormat/>
    <w:rPr>
      <w:rFonts w:ascii="Wingdings" w:hAnsi="Wingdings" w:cs="Wingdings"/>
    </w:rPr>
  </w:style>
  <w:style w:type="character" w:styleId="WW8Num5z4">
    <w:name w:val="WW8Num5z4"/>
    <w:qFormat/>
    <w:rPr>
      <w:rFonts w:ascii="Courier New" w:hAnsi="Courier New" w:cs="Courier New"/>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2">
    <w:name w:val="WW8Num7z2"/>
    <w:qFormat/>
    <w:rPr>
      <w:rFonts w:ascii="Wingdings" w:hAnsi="Wingdings" w:cs="Wingdings"/>
    </w:rPr>
  </w:style>
  <w:style w:type="character" w:styleId="WW8Num7z4">
    <w:name w:val="WW8Num7z4"/>
    <w:qFormat/>
    <w:rPr>
      <w:rFonts w:ascii="Courier New" w:hAnsi="Courier New" w:cs="Courier New"/>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2">
    <w:name w:val="WW8Num16z2"/>
    <w:qFormat/>
    <w:rPr>
      <w:rFonts w:ascii="Wingdings" w:hAnsi="Wingdings" w:cs="Wingdings"/>
    </w:rPr>
  </w:style>
  <w:style w:type="character" w:styleId="WW8Num16z4">
    <w:name w:val="WW8Num16z4"/>
    <w:qFormat/>
    <w:rPr>
      <w:rFonts w:ascii="Courier New" w:hAnsi="Courier New" w:cs="Courier New"/>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DefaultParagraphFont">
    <w:name w:val="Default Paragraph Font"/>
    <w:qFormat/>
    <w:rPr/>
  </w:style>
  <w:style w:type="character" w:styleId="PageNumber">
    <w:name w:val="page number"/>
    <w:rPr>
      <w:sz w:val="20"/>
    </w:rPr>
  </w:style>
  <w:style w:type="character" w:styleId="CommentReference">
    <w:name w:val="Comment Reference"/>
    <w:qFormat/>
    <w:rPr>
      <w:sz w:val="16"/>
    </w:rPr>
  </w:style>
  <w:style w:type="character" w:styleId="HeaderChar">
    <w:name w:val="Header Char"/>
    <w:qFormat/>
    <w:rPr>
      <w:lang w:val="en-GB"/>
    </w:rPr>
  </w:style>
  <w:style w:type="paragraph" w:styleId="Style12">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pPr>
    <w:rPr>
      <w:rFonts w:ascii="Arial" w:hAnsi="Arial" w:cs="Arial"/>
      <w:sz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Указател"/>
    <w:basedOn w:val="Normal"/>
    <w:qFormat/>
    <w:pPr>
      <w:suppressLineNumbers/>
    </w:pPr>
    <w:rPr>
      <w:rFonts w:cs="Arial"/>
    </w:rPr>
  </w:style>
  <w:style w:type="paragraph" w:styleId="Style14">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ommentText">
    <w:name w:val="Comment Text"/>
    <w:basedOn w:val="Normal"/>
    <w:qFormat/>
    <w:pPr/>
    <w:rPr/>
  </w:style>
  <w:style w:type="paragraph" w:styleId="BodyText2">
    <w:name w:val="Body Text 2"/>
    <w:basedOn w:val="Normal"/>
    <w:qFormat/>
    <w:pPr>
      <w:widowControl/>
    </w:pPr>
    <w:rPr>
      <w:sz w:val="28"/>
      <w:lang w:val="bg-BG"/>
    </w:rPr>
  </w:style>
  <w:style w:type="paragraph" w:styleId="BodyText3">
    <w:name w:val="Body Text 3"/>
    <w:basedOn w:val="Normal"/>
    <w:qFormat/>
    <w:pPr>
      <w:widowControl/>
      <w:jc w:val="both"/>
    </w:pPr>
    <w:rPr>
      <w:sz w:val="24"/>
      <w:lang w:val="bg-BG"/>
    </w:rPr>
  </w:style>
  <w:style w:type="paragraph" w:styleId="BodyTextIndent">
    <w:name w:val="Body Text Indent"/>
    <w:basedOn w:val="Normal"/>
    <w:pPr>
      <w:ind w:hanging="0" w:start="340" w:end="0"/>
      <w:jc w:val="both"/>
    </w:pPr>
    <w:rPr>
      <w:sz w:val="24"/>
      <w:lang w:val="bg-BG"/>
    </w:rPr>
  </w:style>
  <w:style w:type="paragraph" w:styleId="-">
    <w:name w:val="Таблица - съдържание"/>
    <w:basedOn w:val="Normal"/>
    <w:qFormat/>
    <w:pPr>
      <w:widowControl w:val="false"/>
      <w:suppressLineNumbers/>
    </w:pPr>
    <w:rPr/>
  </w:style>
  <w:style w:type="paragraph" w:styleId="-1">
    <w:name w:val="Таблица - заглавие"/>
    <w:basedOn w:val="-"/>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105</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2015-10-28T14:23:00Z</dcterms:created>
  <dc:creator>MT</dc:creator>
  <dc:description/>
  <cp:keywords/>
  <dc:language>bg-BG</dc:language>
  <cp:lastModifiedBy>Julia</cp:lastModifiedBy>
  <cp:lastPrinted>2009-09-23T12:56:00Z</cp:lastPrinted>
  <dcterms:modified xsi:type="dcterms:W3CDTF">2019-11-06T19:24:00Z</dcterms:modified>
  <cp:revision>60</cp:revision>
  <dc:subject>Наръчник по качеството</dc:subject>
  <dc:title>Раздел 8 "Измерване, анализ и подобряване"</dc:title>
</cp:coreProperties>
</file>