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1. ЦЕЛ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  <w:t>Тази процедура определя начина на създаване, разпространение, подменяне, изменение и съхранение на документираната информация, свързани със Системата за управление и с процесите извършвани при дейността във фирмата.</w:t>
      </w:r>
    </w:p>
    <w:p>
      <w:pPr>
        <w:pStyle w:val="Normal"/>
        <w:widowControl/>
        <w:jc w:val="both"/>
        <w:rPr>
          <w:b/>
          <w:sz w:val="24"/>
          <w:lang w:val="ru-RU"/>
        </w:rPr>
      </w:pPr>
      <w:r>
        <w:rPr>
          <w:b/>
          <w:sz w:val="24"/>
          <w:lang w:val="ru-RU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2. СЪДЪРЖАНИЕ НА ПРОЦЕСА</w:t>
      </w:r>
    </w:p>
    <w:p>
      <w:pPr>
        <w:pStyle w:val="BodyText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BodyText"/>
        <w:rPr/>
      </w:pPr>
      <w:r>
        <w:rPr/>
        <w:t>За реализирането на процесите, свързани с управление на документираната информация, е необходимо да бъдат извършени следните дейности:</w:t>
      </w:r>
    </w:p>
    <w:p>
      <w:pPr>
        <w:pStyle w:val="Normal"/>
        <w:widowControl/>
        <w:ind w:firstLine="720" w:end="0"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ind w:firstLine="720" w:end="0"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ВХОД</w:t>
        <w:tab/>
        <w:tab/>
        <w:tab/>
        <w:tab/>
        <w:t>ДЕЙНОСТИ</w:t>
        <w:tab/>
        <w:tab/>
        <w:tab/>
        <w:tab/>
        <w:t>ИЗХОД</w:t>
      </w:r>
    </w:p>
    <w:p>
      <w:pPr>
        <w:pStyle w:val="Normal"/>
        <w:widowControl/>
        <w:jc w:val="both"/>
        <w:rPr>
          <w:b/>
          <w:sz w:val="24"/>
          <w:lang w:val="bg-BG" w:eastAsia="bg-BG"/>
        </w:rPr>
      </w:pPr>
      <w:r>
        <w:rPr>
          <w:b/>
          <w:sz w:val="24"/>
          <w:lang w:val="bg-BG" w:eastAsia="bg-BG"/>
        </w:rP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ragraph">
                  <wp:posOffset>34925</wp:posOffset>
                </wp:positionV>
                <wp:extent cx="1689100" cy="1104900"/>
                <wp:effectExtent l="9525" t="9525" r="88900" b="86995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9120" cy="1104840"/>
                        </a:xfrm>
                        <a:custGeom>
                          <a:avLst/>
                          <a:gdLst>
                            <a:gd name="textAreaLeft" fmla="*/ 0 w 957600"/>
                            <a:gd name="textAreaRight" fmla="*/ 957960 w 957600"/>
                            <a:gd name="textAreaTop" fmla="*/ 0 h 626400"/>
                            <a:gd name="textAreaBottom" fmla="*/ 626760 h 626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16200" y="0"/>
                              </a:lnTo>
                              <a:lnTo>
                                <a:pt x="21600" y="10800"/>
                              </a:lnTo>
                              <a:lnTo>
                                <a:pt x="162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9080">
                          <a:solidFill>
                            <a:srgbClr val="000000"/>
                          </a:solidFill>
                          <a:miter/>
                        </a:ln>
                        <a:effectLst>
                          <a:outerShdw dist="107932" dir="2700000" rotWithShape="0">
                            <a:srgbClr val="808080"/>
                          </a:outerShdw>
                        </a:effectLst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auto"/>
                                <w:kern w:val="2"/>
                                <w:sz w:val="20"/>
                                <w:szCs w:val="20"/>
                                <w:lang w:val="bg-BG" w:bidi="ar-SA"/>
                              </w:rPr>
                              <w:t xml:space="preserve">Изисквания към документацията 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auto"/>
                                <w:kern w:val="2"/>
                                <w:sz w:val="20"/>
                                <w:szCs w:val="20"/>
                                <w:lang w:val="bg-BG" w:bidi="ar-SA"/>
                              </w:rPr>
                              <w:t>Възприета във фирмата практика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5" coordsize="21600,21600" o:spt="15" adj="10800" path="m,l@2,l21600,10800l@2,21600l,21600xe">
                <v:stroke joinstyle="miter"/>
                <v:formulas>
                  <v:f eqn="val 21600"/>
                  <v:f eqn="val #0"/>
                  <v:f eqn="sum width 0 @1"/>
                  <v:f eqn="sum @2 width 0"/>
                  <v:f eqn="prod 1 @3 2"/>
                  <v:f eqn="prod @2 1 2"/>
                </v:formulas>
                <v:path gradientshapeok="t" o:connecttype="rect" textboxrect="0,0,@4,21600"/>
                <v:handles>
                  <v:h position="@2,0"/>
                </v:handles>
              </v:shapetype>
              <v:shape id="shape_0" fillcolor="white" stroked="t" o:allowincell="f" style="position:absolute;margin-left:3pt;margin-top:2.75pt;width:132.95pt;height:86.95pt;mso-wrap-style:square;v-text-anchor:top" type="_x0000_t15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auto"/>
                          <w:kern w:val="2"/>
                          <w:sz w:val="20"/>
                          <w:szCs w:val="20"/>
                          <w:lang w:val="bg-BG" w:bidi="ar-SA"/>
                        </w:rPr>
                        <w:t xml:space="preserve">Изисквания към документацията 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auto"/>
                          <w:kern w:val="2"/>
                          <w:sz w:val="20"/>
                          <w:szCs w:val="20"/>
                          <w:lang w:val="bg-BG" w:bidi="ar-SA"/>
                        </w:rPr>
                        <w:t>Възприета във фирмата практика</w:t>
                      </w:r>
                    </w:p>
                  </w:txbxContent>
                </v:textbox>
                <v:fill o:detectmouseclick="t" type="solid" color2="black"/>
                <v:stroke color="black" weight="19080" joinstyle="miter" endcap="flat"/>
                <v:shadow on="t" obscured="f" color="gray"/>
                <w10:wrap type="non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4" behindDoc="0" locked="0" layoutInCell="1" allowOverlap="1">
                <wp:simplePos x="0" y="0"/>
                <wp:positionH relativeFrom="column">
                  <wp:posOffset>4435475</wp:posOffset>
                </wp:positionH>
                <wp:positionV relativeFrom="paragraph">
                  <wp:posOffset>9525</wp:posOffset>
                </wp:positionV>
                <wp:extent cx="1727200" cy="1332865"/>
                <wp:effectExtent l="10160" t="10160" r="88265" b="85725"/>
                <wp:wrapNone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280" cy="1332720"/>
                        </a:xfrm>
                        <a:custGeom>
                          <a:avLst/>
                          <a:gdLst>
                            <a:gd name="textAreaLeft" fmla="*/ 0 w 979200"/>
                            <a:gd name="textAreaRight" fmla="*/ 979560 w 979200"/>
                            <a:gd name="textAreaTop" fmla="*/ 0 h 755640"/>
                            <a:gd name="textAreaBottom" fmla="*/ 756000 h 7556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16200" y="0"/>
                              </a:lnTo>
                              <a:lnTo>
                                <a:pt x="21600" y="10800"/>
                              </a:lnTo>
                              <a:lnTo>
                                <a:pt x="162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9080">
                          <a:solidFill>
                            <a:srgbClr val="000000"/>
                          </a:solidFill>
                          <a:miter/>
                        </a:ln>
                        <a:effectLst>
                          <a:outerShdw dist="107932" dir="2700000" rotWithShape="0">
                            <a:srgbClr val="808080"/>
                          </a:outerShdw>
                        </a:effectLst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auto"/>
                                <w:kern w:val="2"/>
                                <w:sz w:val="20"/>
                                <w:szCs w:val="20"/>
                                <w:lang w:val="bg-BG" w:bidi="ar-SA"/>
                              </w:rPr>
                              <w:t>Наръчник по качеството;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auto"/>
                                <w:kern w:val="2"/>
                                <w:sz w:val="20"/>
                                <w:szCs w:val="20"/>
                                <w:lang w:val="bg-BG" w:bidi="ar-SA"/>
                              </w:rPr>
                              <w:t>Процедурни документи;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auto"/>
                                <w:kern w:val="2"/>
                                <w:sz w:val="20"/>
                                <w:szCs w:val="20"/>
                                <w:lang w:val="bg-BG" w:bidi="ar-SA"/>
                              </w:rPr>
                              <w:t>Работни инструкции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auto"/>
                                <w:kern w:val="2"/>
                                <w:sz w:val="20"/>
                                <w:szCs w:val="20"/>
                                <w:lang w:val="bg-BG" w:bidi="ar-SA"/>
                              </w:rPr>
                              <w:t>Оперативни   документи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fillcolor="white" stroked="t" o:allowincell="f" style="position:absolute;margin-left:349.25pt;margin-top:0.75pt;width:135.95pt;height:104.9pt;mso-wrap-style:square;v-text-anchor:top" type="_x0000_t15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auto"/>
                          <w:kern w:val="2"/>
                          <w:sz w:val="20"/>
                          <w:szCs w:val="20"/>
                          <w:lang w:val="bg-BG" w:bidi="ar-SA"/>
                        </w:rPr>
                        <w:t>Наръчник по качеството;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auto"/>
                          <w:kern w:val="2"/>
                          <w:sz w:val="20"/>
                          <w:szCs w:val="20"/>
                          <w:lang w:val="bg-BG" w:bidi="ar-SA"/>
                        </w:rPr>
                        <w:t>Процедурни документи;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auto"/>
                          <w:kern w:val="2"/>
                          <w:sz w:val="20"/>
                          <w:szCs w:val="20"/>
                          <w:lang w:val="bg-BG" w:bidi="ar-SA"/>
                        </w:rPr>
                        <w:t>Работни инструкции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auto"/>
                          <w:kern w:val="2"/>
                          <w:sz w:val="20"/>
                          <w:szCs w:val="20"/>
                          <w:lang w:val="bg-BG" w:bidi="ar-SA"/>
                        </w:rPr>
                        <w:t>Оперативни   документи</w:t>
                      </w:r>
                    </w:p>
                  </w:txbxContent>
                </v:textbox>
                <v:fill o:detectmouseclick="t" type="solid" color2="black"/>
                <v:stroke color="black" weight="19080" joinstyle="miter" endcap="flat"/>
                <v:shadow on="t" obscured="f" color="gray"/>
                <w10:wrap type="none"/>
              </v:shape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3" behindDoc="0" locked="0" layoutInCell="1" allowOverlap="1">
                <wp:simplePos x="0" y="0"/>
                <wp:positionH relativeFrom="column">
                  <wp:posOffset>1835150</wp:posOffset>
                </wp:positionH>
                <wp:positionV relativeFrom="paragraph">
                  <wp:posOffset>12700</wp:posOffset>
                </wp:positionV>
                <wp:extent cx="2317750" cy="1429385"/>
                <wp:effectExtent l="0" t="0" r="76200" b="76200"/>
                <wp:wrapNone/>
                <wp:docPr id="3" name="Рамка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3950" cy="1505585"/>
                        </a:xfrm>
                        <a:prstGeom prst="rect"/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</a:ln>
                        <a:effectLst>
                          <a:outerShdw dist="107315" dir="2700000">
                            <a:srgbClr val="808080"/>
                          </a:outerShdw>
                        </a:effectLst>
                      </wps:spPr>
                      <wps:txbx>
                        <w:txbxContent>
                          <w:p>
                            <w:pPr>
                              <w:pStyle w:val="Normal"/>
                              <w:numPr>
                                <w:ilvl w:val="0"/>
                                <w:numId w:val="11"/>
                              </w:numPr>
                              <w:ind w:hanging="227" w:start="340" w:end="0"/>
                              <w:rPr/>
                            </w:pPr>
                            <w:r>
                              <w:rPr>
                                <w:lang w:val="bg-BG"/>
                              </w:rPr>
                              <w:t>определяне на документите, подлежащи на управление;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11"/>
                              </w:numPr>
                              <w:ind w:hanging="227" w:start="340" w:end="0"/>
                              <w:rPr/>
                            </w:pPr>
                            <w:r>
                              <w:rPr>
                                <w:lang w:val="bg-BG"/>
                              </w:rPr>
                              <w:t>определяне на правила за идентификация и оформяне на документите;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11"/>
                              </w:numPr>
                              <w:ind w:hanging="227" w:start="340" w:end="0"/>
                              <w:rPr/>
                            </w:pPr>
                            <w:r>
                              <w:rPr>
                                <w:lang w:val="bg-BG"/>
                              </w:rPr>
                              <w:t>издаване на документи;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11"/>
                              </w:numPr>
                              <w:ind w:hanging="227" w:start="340" w:end="0"/>
                              <w:rPr/>
                            </w:pPr>
                            <w:r>
                              <w:rPr>
                                <w:lang w:val="bg-BG"/>
                              </w:rPr>
                              <w:t>разпространение на документи;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11"/>
                              </w:numPr>
                              <w:ind w:hanging="227" w:start="340" w:end="0"/>
                              <w:rPr/>
                            </w:pPr>
                            <w:r>
                              <w:rPr>
                                <w:lang w:val="bg-BG"/>
                              </w:rPr>
                              <w:t>изменение на документи;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11"/>
                              </w:numPr>
                              <w:ind w:hanging="227" w:start="340" w:end="0"/>
                              <w:rPr/>
                            </w:pPr>
                            <w:r>
                              <w:rPr>
                                <w:lang w:val="bg-BG"/>
                              </w:rPr>
                              <w:t>съхранение на документи.</w:t>
                            </w:r>
                          </w:p>
                        </w:txbxContent>
                      </wps:txbx>
                      <wps:bodyPr anchor="t" lIns="17780" tIns="10795" rIns="17780" bIns="1079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88.5pt;height:118.55pt;mso-wrap-distance-left:9.05pt;mso-wrap-distance-right:9.05pt;mso-wrap-distance-top:0pt;mso-wrap-distance-bottom:0pt;margin-top:1pt;mso-position-vertical-relative:text;margin-left:144.5pt;mso-position-horizontal-relative:text">
                <v:shadow on="t" color="#808080" offset="6pt,6pt"/>
                <v:textbox inset="0.0194444444444444in,0.0118055555555556in,0.0194444444444444in,0.0118055555555556in">
                  <w:txbxContent>
                    <w:p>
                      <w:pPr>
                        <w:pStyle w:val="Normal"/>
                        <w:numPr>
                          <w:ilvl w:val="0"/>
                          <w:numId w:val="11"/>
                        </w:numPr>
                        <w:ind w:hanging="227" w:start="340" w:end="0"/>
                        <w:rPr/>
                      </w:pPr>
                      <w:r>
                        <w:rPr>
                          <w:lang w:val="bg-BG"/>
                        </w:rPr>
                        <w:t>определяне на документите, подлежащи на управление;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11"/>
                        </w:numPr>
                        <w:ind w:hanging="227" w:start="340" w:end="0"/>
                        <w:rPr/>
                      </w:pPr>
                      <w:r>
                        <w:rPr>
                          <w:lang w:val="bg-BG"/>
                        </w:rPr>
                        <w:t>определяне на правила за идентификация и оформяне на документите;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11"/>
                        </w:numPr>
                        <w:ind w:hanging="227" w:start="340" w:end="0"/>
                        <w:rPr/>
                      </w:pPr>
                      <w:r>
                        <w:rPr>
                          <w:lang w:val="bg-BG"/>
                        </w:rPr>
                        <w:t>издаване на документи;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11"/>
                        </w:numPr>
                        <w:ind w:hanging="227" w:start="340" w:end="0"/>
                        <w:rPr/>
                      </w:pPr>
                      <w:r>
                        <w:rPr>
                          <w:lang w:val="bg-BG"/>
                        </w:rPr>
                        <w:t>разпространение на документи;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11"/>
                        </w:numPr>
                        <w:ind w:hanging="227" w:start="340" w:end="0"/>
                        <w:rPr/>
                      </w:pPr>
                      <w:r>
                        <w:rPr>
                          <w:lang w:val="bg-BG"/>
                        </w:rPr>
                        <w:t>изменение на документи;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11"/>
                        </w:numPr>
                        <w:ind w:hanging="227" w:start="340" w:end="0"/>
                        <w:rPr/>
                      </w:pPr>
                      <w:r>
                        <w:rPr>
                          <w:lang w:val="bg-BG"/>
                        </w:rPr>
                        <w:t>съхранение на документи.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 xml:space="preserve">3. ОТГОВОРНОСТИ ЗА ИЗВЪРШВАНЕ НА ПРОЦЕСА  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en-US"/>
        </w:rPr>
      </w:pPr>
      <w:r>
        <w:rPr>
          <w:sz w:val="24"/>
          <w:lang w:val="bg-BG"/>
        </w:rPr>
        <w:t>Управител:</w:t>
      </w:r>
    </w:p>
    <w:p>
      <w:pPr>
        <w:pStyle w:val="Normal"/>
        <w:widowControl/>
        <w:numPr>
          <w:ilvl w:val="0"/>
          <w:numId w:val="5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преглежда и утвърждава документите преди издаване;</w:t>
      </w:r>
    </w:p>
    <w:p>
      <w:pPr>
        <w:pStyle w:val="Normal"/>
        <w:widowControl/>
        <w:numPr>
          <w:ilvl w:val="0"/>
          <w:numId w:val="5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преглежда и утвърждава документите при изменение.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sz w:val="24"/>
          <w:lang w:val="bg-BG"/>
        </w:rPr>
        <w:t>Мениджър на системата по качеството (МК) той и Мениджър на интегрираната система:</w:t>
      </w:r>
    </w:p>
    <w:p>
      <w:pPr>
        <w:pStyle w:val="Normal"/>
        <w:widowControl/>
        <w:numPr>
          <w:ilvl w:val="0"/>
          <w:numId w:val="4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подготвя новите издания на документите;</w:t>
      </w:r>
    </w:p>
    <w:p>
      <w:pPr>
        <w:pStyle w:val="Normal"/>
        <w:widowControl/>
        <w:numPr>
          <w:ilvl w:val="0"/>
          <w:numId w:val="4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провежда обучение за създадените документи;</w:t>
      </w:r>
    </w:p>
    <w:p>
      <w:pPr>
        <w:pStyle w:val="Normal"/>
        <w:widowControl/>
        <w:numPr>
          <w:ilvl w:val="0"/>
          <w:numId w:val="4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разяснява измененията, направени в документите;</w:t>
      </w:r>
    </w:p>
    <w:p>
      <w:pPr>
        <w:pStyle w:val="Normal"/>
        <w:widowControl/>
        <w:numPr>
          <w:ilvl w:val="0"/>
          <w:numId w:val="4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управлява документираната информация.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  <w:t>Сътрудници на фирмата:</w:t>
      </w:r>
    </w:p>
    <w:p>
      <w:pPr>
        <w:pStyle w:val="Normal"/>
        <w:widowControl/>
        <w:numPr>
          <w:ilvl w:val="0"/>
          <w:numId w:val="6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съхраняват контролирани копия на документите и ги прилагат в работата си.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 xml:space="preserve">4. ПОТРЕБИТЕЛ НА ПРОЦЕСА </w:t>
      </w:r>
    </w:p>
    <w:p>
      <w:pPr>
        <w:pStyle w:val="BodyText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BodyText"/>
        <w:rPr/>
      </w:pPr>
      <w:r>
        <w:rPr/>
        <w:t>Потребители на процес „Управление на документирана информация” са всички процеси на Системата за управление на фирмата.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5. КРИТЕРИИ ЗА ОЦЕНЯВАНЕ НА ПРОЦЕСА</w:t>
        <w:tab/>
      </w:r>
    </w:p>
    <w:p>
      <w:pPr>
        <w:pStyle w:val="BodyText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BodyText"/>
        <w:rPr>
          <w:b/>
        </w:rPr>
      </w:pPr>
      <w:r>
        <w:rPr/>
        <w:t>Основен критерий за ефективност на управлението на документираната информация е степента, в която разработените и използвани документи и записи спомагат за непрекъснатото подобряване на процесите.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6. ТЕРМИНИ И ОПРЕДЕЛЕНИЯ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numPr>
          <w:ilvl w:val="0"/>
          <w:numId w:val="8"/>
        </w:numPr>
        <w:jc w:val="both"/>
        <w:rPr>
          <w:sz w:val="24"/>
          <w:lang w:val="bg-BG"/>
        </w:rPr>
      </w:pPr>
      <w:r>
        <w:rPr>
          <w:b/>
          <w:sz w:val="24"/>
          <w:lang w:val="bg-BG"/>
        </w:rPr>
        <w:t xml:space="preserve">ИСУ </w:t>
      </w:r>
      <w:r>
        <w:rPr>
          <w:sz w:val="24"/>
          <w:lang w:val="bg-BG"/>
        </w:rPr>
        <w:t>– Интегрирана Система за управление;</w:t>
      </w:r>
    </w:p>
    <w:p>
      <w:pPr>
        <w:pStyle w:val="Normal"/>
        <w:widowControl/>
        <w:numPr>
          <w:ilvl w:val="0"/>
          <w:numId w:val="8"/>
        </w:numPr>
        <w:jc w:val="both"/>
        <w:rPr>
          <w:sz w:val="24"/>
          <w:lang w:val="bg-BG"/>
        </w:rPr>
      </w:pPr>
      <w:r>
        <w:rPr>
          <w:b/>
          <w:sz w:val="24"/>
          <w:lang w:val="bg-BG"/>
        </w:rPr>
        <w:t>Документирана информация</w:t>
      </w:r>
      <w:r>
        <w:rPr>
          <w:sz w:val="24"/>
          <w:lang w:val="bg-BG"/>
        </w:rPr>
        <w:t xml:space="preserve"> – информация, за която има определено изискване да бъде контролирана и съхранявана от фирмата и носителите, на които се съхранява;</w:t>
      </w:r>
    </w:p>
    <w:p>
      <w:pPr>
        <w:pStyle w:val="Normal"/>
        <w:widowControl/>
        <w:numPr>
          <w:ilvl w:val="0"/>
          <w:numId w:val="8"/>
        </w:numPr>
        <w:jc w:val="both"/>
        <w:rPr>
          <w:sz w:val="24"/>
          <w:lang w:val="bg-BG"/>
        </w:rPr>
      </w:pPr>
      <w:r>
        <w:rPr>
          <w:b/>
          <w:sz w:val="24"/>
          <w:lang w:val="bg-BG"/>
        </w:rPr>
        <w:t>Наръчник по управление</w:t>
      </w:r>
      <w:r>
        <w:rPr>
          <w:sz w:val="24"/>
          <w:lang w:val="bg-BG"/>
        </w:rPr>
        <w:t xml:space="preserve"> - документ, който описва ИСУ; </w:t>
      </w:r>
    </w:p>
    <w:p>
      <w:pPr>
        <w:pStyle w:val="Normal"/>
        <w:widowControl/>
        <w:numPr>
          <w:ilvl w:val="0"/>
          <w:numId w:val="8"/>
        </w:numPr>
        <w:jc w:val="both"/>
        <w:rPr>
          <w:sz w:val="24"/>
          <w:lang w:val="bg-BG"/>
        </w:rPr>
      </w:pPr>
      <w:r>
        <w:rPr>
          <w:b/>
          <w:sz w:val="24"/>
          <w:lang w:val="bg-BG"/>
        </w:rPr>
        <w:t>Процедура</w:t>
      </w:r>
      <w:r>
        <w:rPr>
          <w:sz w:val="24"/>
          <w:lang w:val="bg-BG"/>
        </w:rPr>
        <w:t xml:space="preserve"> - определен начин или ред за изпълнение на дейност или на процес;</w:t>
      </w:r>
    </w:p>
    <w:p>
      <w:pPr>
        <w:pStyle w:val="Normal"/>
        <w:widowControl/>
        <w:numPr>
          <w:ilvl w:val="0"/>
          <w:numId w:val="8"/>
        </w:numPr>
        <w:jc w:val="both"/>
        <w:rPr>
          <w:sz w:val="24"/>
          <w:lang w:val="bg-BG"/>
        </w:rPr>
      </w:pPr>
      <w:r>
        <w:rPr>
          <w:b/>
          <w:sz w:val="24"/>
          <w:lang w:val="bg-BG"/>
        </w:rPr>
        <w:t>Процедурен документ</w:t>
      </w:r>
      <w:r>
        <w:rPr>
          <w:sz w:val="24"/>
          <w:lang w:val="bg-BG"/>
        </w:rPr>
        <w:t xml:space="preserve"> - документ, който съдържа процедура;</w:t>
      </w:r>
    </w:p>
    <w:p>
      <w:pPr>
        <w:pStyle w:val="Normal"/>
        <w:widowControl/>
        <w:numPr>
          <w:ilvl w:val="0"/>
          <w:numId w:val="8"/>
        </w:numPr>
        <w:jc w:val="both"/>
        <w:rPr>
          <w:sz w:val="24"/>
          <w:lang w:val="bg-BG"/>
        </w:rPr>
      </w:pPr>
      <w:r>
        <w:rPr>
          <w:b/>
          <w:sz w:val="24"/>
          <w:lang w:val="bg-BG"/>
        </w:rPr>
        <w:t>Оперативен документ</w:t>
      </w:r>
      <w:r>
        <w:rPr>
          <w:sz w:val="24"/>
          <w:lang w:val="bg-BG"/>
        </w:rPr>
        <w:t xml:space="preserve"> - документ, който носи конкретна информация за дейности; </w:t>
      </w:r>
    </w:p>
    <w:p>
      <w:pPr>
        <w:pStyle w:val="Normal"/>
        <w:widowControl/>
        <w:numPr>
          <w:ilvl w:val="0"/>
          <w:numId w:val="8"/>
        </w:numPr>
        <w:jc w:val="both"/>
        <w:rPr>
          <w:sz w:val="24"/>
          <w:lang w:val="bg-BG"/>
        </w:rPr>
      </w:pPr>
      <w:r>
        <w:rPr>
          <w:b/>
          <w:sz w:val="24"/>
          <w:lang w:val="bg-BG"/>
        </w:rPr>
        <w:t>Запис</w:t>
      </w:r>
      <w:r>
        <w:rPr>
          <w:sz w:val="24"/>
          <w:lang w:val="bg-BG"/>
        </w:rPr>
        <w:t xml:space="preserve"> - документ, който показва резултати или доказателства за извършени дейности.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7. ПРОЦЕДУРА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b/>
          <w:sz w:val="24"/>
          <w:lang w:val="bg-BG"/>
        </w:rPr>
        <w:t xml:space="preserve">7.1. Определяне на обхвата на документираната информация 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  <w:t xml:space="preserve">Документираната информация обхваща всяка информация, за която има определено изискване да бъде контролирана и съхранявана от фирмата и се използва за всички изисквания по отношение на съответните документи. В обхвата влизат и носителите, на които се съхранява тази информация. 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  <w:t xml:space="preserve">Фирмата използва обичайните термини, които са подходящи за нейните дейности, като документация, процедура, работна инструкция, запис, оперативен документ, протокол, формуляр, заповед, писмо и други, като част от тях представляват документирана информация по смисъла на стандарта. Като приложение към Наръчника на Системата за управление се изготвя „Списък на документираната информация“ - OD 07.05.00-1. 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sz w:val="24"/>
          <w:lang w:val="bg-BG"/>
        </w:rPr>
        <w:t>Системата за управление на фирмата включва:</w:t>
      </w:r>
    </w:p>
    <w:p>
      <w:pPr>
        <w:pStyle w:val="Normal"/>
        <w:widowControl/>
        <w:numPr>
          <w:ilvl w:val="0"/>
          <w:numId w:val="6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 xml:space="preserve">документирана информация, изисквана от стандартите </w:t>
      </w:r>
      <w:r>
        <w:rPr>
          <w:sz w:val="24"/>
          <w:lang w:val="en-US"/>
        </w:rPr>
        <w:t>ISO 9001:2015, ISO14001:2015, ISO 45001:2018</w:t>
      </w:r>
      <w:r>
        <w:rPr>
          <w:sz w:val="24"/>
          <w:lang w:val="bg-BG"/>
        </w:rPr>
        <w:t>;</w:t>
      </w:r>
    </w:p>
    <w:p>
      <w:pPr>
        <w:pStyle w:val="Normal"/>
        <w:widowControl/>
        <w:numPr>
          <w:ilvl w:val="0"/>
          <w:numId w:val="6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документирана информация, определена като необходима за ефикасността на системата.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sz w:val="24"/>
          <w:lang w:val="bg-BG"/>
        </w:rPr>
        <w:t>Използва се и терминът „информация” вместо „документирана информация”, когато е необходимо да се наблюдава и проверява информация, свързана с външни и вътрешни обстоятелства. В тези случаи не се изисква тази информация да бъде документирана. Фирмата може да реши дали е необходимо или подходящо да поддържа документирана информация.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7.1.1 Документи, необходими за разработване, внедряване и поддържане на Системата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sz w:val="24"/>
          <w:lang w:val="bg-BG"/>
        </w:rPr>
        <w:t xml:space="preserve">Стандартите ISO 9001:2015, </w:t>
      </w:r>
      <w:r>
        <w:rPr>
          <w:sz w:val="24"/>
          <w:lang w:val="en-US"/>
        </w:rPr>
        <w:t>ISO</w:t>
      </w:r>
      <w:r>
        <w:rPr>
          <w:sz w:val="24"/>
          <w:lang w:val="bg-BG"/>
        </w:rPr>
        <w:t xml:space="preserve"> 14001:2015</w:t>
      </w:r>
      <w:r>
        <w:rPr>
          <w:sz w:val="24"/>
          <w:lang w:val="en-US"/>
        </w:rPr>
        <w:t>, ISO 45001:2018</w:t>
      </w:r>
      <w:r>
        <w:rPr>
          <w:sz w:val="24"/>
          <w:lang w:val="bg-BG"/>
        </w:rPr>
        <w:t xml:space="preserve"> не изисква изрично разработването на Наръчник и типова структура на документацията. Въпреки това, с цел пригледност и удобство за работа, фирмата е приела структура на Системата по управление, организирана на пет нива и съответстващата на структурата на стандартите:</w:t>
      </w:r>
    </w:p>
    <w:p>
      <w:pPr>
        <w:pStyle w:val="Normal"/>
        <w:widowControl/>
        <w:numPr>
          <w:ilvl w:val="0"/>
          <w:numId w:val="6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Политика и цели по качеството, околна среда и здраве и безопасност при работа-първо ниво;</w:t>
      </w:r>
    </w:p>
    <w:p>
      <w:pPr>
        <w:pStyle w:val="Normal"/>
        <w:widowControl/>
        <w:numPr>
          <w:ilvl w:val="0"/>
          <w:numId w:val="6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Наръчник - второ ниво;</w:t>
      </w:r>
    </w:p>
    <w:p>
      <w:pPr>
        <w:pStyle w:val="Normal"/>
        <w:widowControl/>
        <w:numPr>
          <w:ilvl w:val="0"/>
          <w:numId w:val="6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Процедури и работни инструкции (когато са необходими)- трето ниво;</w:t>
      </w:r>
    </w:p>
    <w:p>
      <w:pPr>
        <w:pStyle w:val="Normal"/>
        <w:widowControl/>
        <w:numPr>
          <w:ilvl w:val="0"/>
          <w:numId w:val="6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Оперативни документи – четвърто ниво;</w:t>
      </w:r>
    </w:p>
    <w:p>
      <w:pPr>
        <w:pStyle w:val="Normal"/>
        <w:widowControl/>
        <w:numPr>
          <w:ilvl w:val="0"/>
          <w:numId w:val="6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Външни документи.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b/>
          <w:sz w:val="24"/>
          <w:lang w:val="bg-BG"/>
        </w:rPr>
        <w:t xml:space="preserve">7.1.2 Записи 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sz w:val="24"/>
          <w:lang w:val="bg-BG"/>
        </w:rPr>
        <w:t>В стандартите не се изисква изрично управлението на записи. Терминът „записи” в се използва, за да се означат документите, необходими за предоставяне на доказателства за съответствие с изискванията, които представляват документирана информация. Отговорност на фирмата е да определи конкретния обхват на записите, представляващи документирана информация, която е необходимо да се съхранява, времето за съхранение и носителя, използван за нейното съхранение.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7.2. Оформяне на документите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sz w:val="24"/>
          <w:lang w:val="bg-BG"/>
        </w:rPr>
        <w:t>Документите от едно йерархично ниво имат едно и също оформление и съдържание като основни раздели. Всички документи съдържат антетки към първа и последващи страници.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b/>
          <w:sz w:val="24"/>
          <w:lang w:val="bg-BG"/>
        </w:rPr>
        <w:t>7.2.1. Наръчник на Системата:</w:t>
      </w:r>
    </w:p>
    <w:p>
      <w:pPr>
        <w:pStyle w:val="Normal"/>
        <w:widowControl/>
        <w:jc w:val="both"/>
        <w:rPr/>
      </w:pPr>
      <w:r>
        <w:rPr/>
        <w:t>За първа страница на раздел:</w:t>
      </w:r>
    </w:p>
    <w:tbl>
      <w:tblPr>
        <w:tblW w:w="99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35"/>
        <w:gridCol w:w="4678"/>
        <w:gridCol w:w="1276"/>
        <w:gridCol w:w="1134"/>
      </w:tblGrid>
      <w:tr>
        <w:trPr>
          <w:cantSplit/>
        </w:trPr>
        <w:tc>
          <w:tcPr>
            <w:tcW w:w="2835" w:type="dxa"/>
            <w:vMerge w:val="restart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  <w:p>
            <w:pPr>
              <w:pStyle w:val="Normal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4678" w:type="dxa"/>
            <w:tcBorders>
              <w:top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Header"/>
              <w:widowControl/>
              <w:rPr>
                <w:b/>
                <w:lang w:val="bg-BG"/>
              </w:rPr>
            </w:pPr>
            <w:r>
              <w:rPr>
                <w:b/>
                <w:lang w:val="bg-BG"/>
              </w:rPr>
              <w:t>НАРЪЧНИК НА ИНТЕГРИРАНА СИСТЕМА</w:t>
            </w:r>
          </w:p>
        </w:tc>
        <w:tc>
          <w:tcPr>
            <w:tcW w:w="1276" w:type="dxa"/>
            <w:vMerge w:val="restart"/>
            <w:tcBorders>
              <w:top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er"/>
              <w:rPr>
                <w:lang w:val="bg-BG"/>
              </w:rPr>
            </w:pPr>
            <w:r>
              <w:rPr>
                <w:lang w:val="en-US"/>
              </w:rPr>
              <w:t>Версия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Header"/>
              <w:widowControl/>
              <w:jc w:val="center"/>
              <w:rPr>
                <w:i/>
                <w:lang w:val="bg-BG"/>
              </w:rPr>
            </w:pPr>
            <w:r>
              <w:rPr>
                <w:i/>
                <w:lang w:val="bg-BG"/>
              </w:rPr>
              <w:t>поредна</w:t>
            </w:r>
          </w:p>
        </w:tc>
      </w:tr>
      <w:tr>
        <w:trPr>
          <w:cantSplit/>
        </w:trPr>
        <w:tc>
          <w:tcPr>
            <w:tcW w:w="2835" w:type="dxa"/>
            <w:vMerge w:val="continue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</w:tcPr>
          <w:p>
            <w:pPr>
              <w:pStyle w:val="Header"/>
              <w:snapToGrid w:val="false"/>
              <w:jc w:val="center"/>
              <w:rPr>
                <w:i/>
                <w:lang w:val="en-US"/>
              </w:rPr>
            </w:pPr>
            <w:r>
              <w:rPr>
                <w:i/>
                <w:lang w:val="en-US"/>
              </w:rPr>
            </w:r>
          </w:p>
        </w:tc>
        <w:tc>
          <w:tcPr>
            <w:tcW w:w="4678" w:type="dxa"/>
            <w:tcBorders>
              <w:top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Header"/>
              <w:widowControl/>
              <w:rPr>
                <w:lang w:val="en-US"/>
              </w:rPr>
            </w:pPr>
            <w:r>
              <w:rPr>
                <w:lang w:val="en-US"/>
              </w:rPr>
              <w:t>ISO</w:t>
            </w:r>
            <w:r>
              <w:rPr>
                <w:lang w:val="bg-BG"/>
              </w:rPr>
              <w:t xml:space="preserve"> 9001:</w:t>
            </w:r>
            <w:r>
              <w:rPr>
                <w:lang w:val="en-US"/>
              </w:rPr>
              <w:t>2015; ISO 14001:2015; ISO 45001:2018</w:t>
            </w:r>
          </w:p>
        </w:tc>
        <w:tc>
          <w:tcPr>
            <w:tcW w:w="1276" w:type="dxa"/>
            <w:vMerge w:val="continue"/>
            <w:tcBorders>
              <w:top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er"/>
              <w:widowControl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134" w:type="dxa"/>
            <w:vMerge w:val="continue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Header"/>
              <w:widowControl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trHeight w:val="263" w:hRule="atLeast"/>
          <w:cantSplit/>
        </w:trPr>
        <w:tc>
          <w:tcPr>
            <w:tcW w:w="2835" w:type="dxa"/>
            <w:vMerge w:val="continue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</w:tcPr>
          <w:p>
            <w:pPr>
              <w:pStyle w:val="Header"/>
              <w:widowControl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4678" w:type="dxa"/>
            <w:vMerge w:val="restart"/>
            <w:tcBorders>
              <w:top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Header"/>
              <w:widowControl/>
              <w:jc w:val="center"/>
              <w:rPr>
                <w:i/>
                <w:lang w:val="en-US"/>
              </w:rPr>
            </w:pPr>
            <w:r>
              <w:rPr>
                <w:i/>
                <w:lang w:val="bg-BG"/>
              </w:rPr>
              <w:t xml:space="preserve">Раздел № </w:t>
            </w:r>
          </w:p>
          <w:p>
            <w:pPr>
              <w:pStyle w:val="Header"/>
              <w:widowControl/>
              <w:jc w:val="center"/>
              <w:rPr>
                <w:b/>
                <w:i/>
                <w:lang w:val="en-US"/>
              </w:rPr>
            </w:pPr>
            <w:r>
              <w:rPr>
                <w:i/>
                <w:lang w:val="bg-BG"/>
              </w:rPr>
              <w:t>Наименование на раздела</w:t>
            </w:r>
          </w:p>
        </w:tc>
        <w:tc>
          <w:tcPr>
            <w:tcW w:w="1276" w:type="dxa"/>
            <w:tcBorders>
              <w:top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er"/>
              <w:widowControl/>
              <w:rPr>
                <w:lang w:val="bg-BG"/>
              </w:rPr>
            </w:pPr>
            <w:r>
              <w:rPr>
                <w:lang w:val="en-US"/>
              </w:rPr>
              <w:t>Стр.</w:t>
            </w:r>
          </w:p>
        </w:tc>
        <w:tc>
          <w:tcPr>
            <w:tcW w:w="1134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Header"/>
              <w:widowControl/>
              <w:jc w:val="center"/>
              <w:rPr>
                <w:i/>
                <w:lang w:val="bg-BG"/>
              </w:rPr>
            </w:pPr>
            <w:r>
              <w:rPr>
                <w:i/>
                <w:lang w:val="en-US"/>
              </w:rPr>
              <w:t>1/вс.стр.</w:t>
            </w:r>
          </w:p>
        </w:tc>
      </w:tr>
      <w:tr>
        <w:trPr>
          <w:trHeight w:val="342" w:hRule="atLeast"/>
          <w:cantSplit/>
        </w:trPr>
        <w:tc>
          <w:tcPr>
            <w:tcW w:w="2835" w:type="dxa"/>
            <w:vMerge w:val="continue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</w:tcPr>
          <w:p>
            <w:pPr>
              <w:pStyle w:val="Header"/>
              <w:widowControl/>
              <w:snapToGrid w:val="false"/>
              <w:jc w:val="center"/>
              <w:rPr>
                <w:b/>
                <w:i/>
                <w:color w:val="008080"/>
                <w:lang w:val="en-US"/>
              </w:rPr>
            </w:pPr>
            <w:r>
              <w:rPr>
                <w:b/>
                <w:i/>
                <w:color w:val="008080"/>
                <w:lang w:val="en-US"/>
              </w:rPr>
            </w:r>
          </w:p>
        </w:tc>
        <w:tc>
          <w:tcPr>
            <w:tcW w:w="4678" w:type="dxa"/>
            <w:vMerge w:val="continue"/>
            <w:tcBorders>
              <w:top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Header"/>
              <w:widowControl/>
              <w:snapToGrid w:val="false"/>
              <w:jc w:val="center"/>
              <w:rPr>
                <w:b/>
                <w:i/>
                <w:color w:val="008080"/>
                <w:lang w:val="bg-BG"/>
              </w:rPr>
            </w:pPr>
            <w:r>
              <w:rPr>
                <w:b/>
                <w:i/>
                <w:color w:val="008080"/>
                <w:lang w:val="bg-BG"/>
              </w:rPr>
            </w:r>
          </w:p>
        </w:tc>
        <w:tc>
          <w:tcPr>
            <w:tcW w:w="1276" w:type="dxa"/>
            <w:tcBorders>
              <w:top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Header"/>
              <w:widowControl/>
              <w:rPr>
                <w:lang w:val="bg-BG"/>
              </w:rPr>
            </w:pPr>
            <w:r>
              <w:rPr>
                <w:lang w:val="en-US"/>
              </w:rPr>
              <w:t>Дата на и</w:t>
            </w:r>
            <w:r>
              <w:rPr>
                <w:lang w:val="bg-BG"/>
              </w:rPr>
              <w:t>зд</w:t>
            </w:r>
            <w:r>
              <w:rPr>
                <w:lang w:val="en-US"/>
              </w:rPr>
              <w:t>./изм.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Header"/>
              <w:widowControl/>
              <w:jc w:val="center"/>
              <w:rPr>
                <w:i/>
                <w:lang w:val="bg-BG"/>
              </w:rPr>
            </w:pPr>
            <w:r>
              <w:rPr>
                <w:i/>
                <w:lang w:val="bg-BG"/>
              </w:rPr>
              <w:t xml:space="preserve">дата </w:t>
            </w:r>
          </w:p>
        </w:tc>
      </w:tr>
    </w:tbl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tabs>
          <w:tab w:val="clear" w:pos="720"/>
          <w:tab w:val="left" w:pos="7176" w:leader="none"/>
        </w:tabs>
        <w:jc w:val="both"/>
        <w:rPr>
          <w:sz w:val="24"/>
          <w:lang w:val="bg-BG"/>
        </w:rPr>
      </w:pPr>
      <w:r>
        <w:rPr>
          <w:sz w:val="24"/>
          <w:lang w:val="bg-BG"/>
        </w:rPr>
        <w:t>За втора и следващи страници:</w:t>
        <w:tab/>
      </w:r>
    </w:p>
    <w:tbl>
      <w:tblPr>
        <w:tblW w:w="99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371"/>
        <w:gridCol w:w="851"/>
        <w:gridCol w:w="1701"/>
      </w:tblGrid>
      <w:tr>
        <w:trPr>
          <w:trHeight w:val="240" w:hRule="atLeast"/>
          <w:cantSplit/>
        </w:trPr>
        <w:tc>
          <w:tcPr>
            <w:tcW w:w="9923" w:type="dxa"/>
            <w:gridSpan w:val="3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Header"/>
              <w:widowControl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НАРЪЧНИК НА ИНТЕГРИРАНА СИСТЕМА</w:t>
            </w:r>
          </w:p>
        </w:tc>
      </w:tr>
      <w:tr>
        <w:trPr>
          <w:trHeight w:val="240" w:hRule="atLeast"/>
          <w:cantSplit/>
        </w:trPr>
        <w:tc>
          <w:tcPr>
            <w:tcW w:w="7371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Header"/>
              <w:widowControl/>
              <w:jc w:val="center"/>
              <w:rPr>
                <w:lang w:val="bg-BG"/>
              </w:rPr>
            </w:pPr>
            <w:r>
              <w:rPr>
                <w:lang w:val="bg-BG"/>
              </w:rPr>
              <w:t>Раздел №</w:t>
            </w:r>
          </w:p>
          <w:p>
            <w:pPr>
              <w:pStyle w:val="Header"/>
              <w:widowControl/>
              <w:jc w:val="center"/>
              <w:rPr>
                <w:b/>
                <w:lang w:val="bg-BG"/>
              </w:rPr>
            </w:pPr>
            <w:r>
              <w:rPr>
                <w:lang w:val="bg-BG"/>
              </w:rPr>
              <w:t xml:space="preserve"> </w:t>
            </w:r>
            <w:r>
              <w:rPr>
                <w:i/>
                <w:lang w:val="bg-BG"/>
              </w:rPr>
              <w:t>Наименование на раздела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er"/>
              <w:widowControl/>
              <w:rPr>
                <w:lang w:val="bg-BG"/>
              </w:rPr>
            </w:pPr>
            <w:r>
              <w:rPr>
                <w:lang w:val="bg-BG"/>
              </w:rPr>
              <w:t>Версия</w:t>
            </w:r>
          </w:p>
        </w:tc>
        <w:tc>
          <w:tcPr>
            <w:tcW w:w="1701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Header"/>
              <w:widowControl/>
              <w:jc w:val="center"/>
              <w:rPr>
                <w:i/>
                <w:lang w:val="bg-BG"/>
              </w:rPr>
            </w:pPr>
            <w:r>
              <w:rPr>
                <w:i/>
                <w:lang w:val="bg-BG"/>
              </w:rPr>
              <w:t>поредна</w:t>
            </w:r>
          </w:p>
        </w:tc>
      </w:tr>
      <w:tr>
        <w:trPr>
          <w:trHeight w:val="240" w:hRule="atLeast"/>
          <w:cantSplit/>
        </w:trPr>
        <w:tc>
          <w:tcPr>
            <w:tcW w:w="7371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Header"/>
              <w:widowControl/>
              <w:snapToGrid w:val="false"/>
              <w:jc w:val="center"/>
              <w:rPr>
                <w:b/>
                <w:i/>
                <w:lang w:val="bg-BG"/>
              </w:rPr>
            </w:pPr>
            <w:r>
              <w:rPr>
                <w:b/>
                <w:i/>
                <w:lang w:val="bg-BG"/>
              </w:rPr>
            </w:r>
          </w:p>
        </w:tc>
        <w:tc>
          <w:tcPr>
            <w:tcW w:w="851" w:type="dxa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Header"/>
              <w:widowControl/>
              <w:rPr>
                <w:lang w:val="bg-BG"/>
              </w:rPr>
            </w:pPr>
            <w:r>
              <w:rPr>
                <w:lang w:val="bg-BG"/>
              </w:rPr>
              <w:t>Стр.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Header"/>
              <w:widowControl/>
              <w:rPr>
                <w:rStyle w:val="PageNumber"/>
                <w:i/>
                <w:lang w:val="bg-BG"/>
              </w:rPr>
            </w:pPr>
            <w:r>
              <w:rPr>
                <w:rStyle w:val="PageNumber"/>
                <w:i/>
                <w:lang w:val="bg-BG"/>
              </w:rPr>
              <w:t>поредна</w:t>
            </w:r>
            <w:r>
              <w:rPr>
                <w:i/>
                <w:lang w:val="bg-BG"/>
              </w:rPr>
              <w:t>/вс.стр</w:t>
            </w:r>
          </w:p>
        </w:tc>
      </w:tr>
    </w:tbl>
    <w:p>
      <w:pPr>
        <w:pStyle w:val="Header"/>
        <w:rPr>
          <w:rStyle w:val="PageNumber"/>
          <w:i/>
          <w:lang w:val="bg-BG"/>
        </w:rPr>
      </w:pPr>
      <w:r>
        <w:rPr/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7.2.2. Процедурни документи и работни инструкции</w:t>
      </w:r>
    </w:p>
    <w:p>
      <w:pPr>
        <w:pStyle w:val="Normal"/>
        <w:widowControl/>
        <w:jc w:val="both"/>
        <w:rPr/>
      </w:pPr>
      <w:r>
        <w:rPr/>
        <w:t>За първа страница:</w:t>
      </w:r>
    </w:p>
    <w:tbl>
      <w:tblPr>
        <w:tblW w:w="987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276"/>
        <w:gridCol w:w="1843"/>
        <w:gridCol w:w="4536"/>
        <w:gridCol w:w="1134"/>
        <w:gridCol w:w="1083"/>
      </w:tblGrid>
      <w:tr>
        <w:trPr>
          <w:cantSplit/>
        </w:trPr>
        <w:tc>
          <w:tcPr>
            <w:tcW w:w="3119" w:type="dxa"/>
            <w:gridSpan w:val="2"/>
            <w:vMerge w:val="restart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4536" w:type="dxa"/>
            <w:tcBorders>
              <w:top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Header"/>
              <w:widowControl/>
              <w:ind w:start="1168" w:end="0"/>
              <w:rPr>
                <w:lang w:val="bg-BG"/>
              </w:rPr>
            </w:pPr>
            <w:r>
              <w:rPr>
                <w:i/>
                <w:lang w:val="bg-BG"/>
              </w:rPr>
              <w:t>Идентификационен код</w:t>
            </w:r>
          </w:p>
        </w:tc>
        <w:tc>
          <w:tcPr>
            <w:tcW w:w="1134" w:type="dxa"/>
            <w:tcBorders>
              <w:top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er"/>
              <w:widowControl/>
              <w:rPr>
                <w:lang w:val="bg-BG"/>
              </w:rPr>
            </w:pPr>
            <w:r>
              <w:rPr>
                <w:lang w:val="ru-RU"/>
              </w:rPr>
              <w:t>Версия</w:t>
            </w:r>
          </w:p>
        </w:tc>
        <w:tc>
          <w:tcPr>
            <w:tcW w:w="1083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Header"/>
              <w:widowControl/>
              <w:rPr>
                <w:i/>
                <w:lang w:val="bg-BG"/>
              </w:rPr>
            </w:pPr>
            <w:r>
              <w:rPr>
                <w:i/>
                <w:lang w:val="bg-BG"/>
              </w:rPr>
              <w:t>поредна</w:t>
            </w:r>
          </w:p>
        </w:tc>
      </w:tr>
      <w:tr>
        <w:trPr>
          <w:cantSplit/>
        </w:trPr>
        <w:tc>
          <w:tcPr>
            <w:tcW w:w="3119" w:type="dxa"/>
            <w:gridSpan w:val="2"/>
            <w:vMerge w:val="continue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Header"/>
              <w:widowControl/>
              <w:snapToGrid w:val="false"/>
              <w:rPr>
                <w:i/>
                <w:lang w:val="bg-BG"/>
              </w:rPr>
            </w:pPr>
            <w:r>
              <w:rPr>
                <w:i/>
                <w:lang w:val="bg-BG"/>
              </w:rPr>
            </w:r>
          </w:p>
        </w:tc>
        <w:tc>
          <w:tcPr>
            <w:tcW w:w="4536" w:type="dxa"/>
            <w:tcBorders>
              <w:top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Header"/>
              <w:widowControl/>
              <w:rPr>
                <w:lang w:val="en-US"/>
              </w:rPr>
            </w:pPr>
            <w:r>
              <w:rPr>
                <w:lang w:val="en-US"/>
              </w:rPr>
              <w:t>ISO</w:t>
            </w:r>
            <w:r>
              <w:rPr>
                <w:lang w:val="bg-BG"/>
              </w:rPr>
              <w:t xml:space="preserve"> 9001:</w:t>
            </w:r>
            <w:r>
              <w:rPr>
                <w:lang w:val="en-US"/>
              </w:rPr>
              <w:t>2015; ISO 14001:2015; ISO 45001:2018</w:t>
            </w:r>
          </w:p>
        </w:tc>
        <w:tc>
          <w:tcPr>
            <w:tcW w:w="1134" w:type="dxa"/>
            <w:tcBorders>
              <w:top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Header"/>
              <w:widowControl/>
              <w:rPr>
                <w:lang w:val="bg-BG"/>
              </w:rPr>
            </w:pPr>
            <w:r>
              <w:rPr>
                <w:lang w:val="bg-BG"/>
              </w:rPr>
              <w:t>Стр.</w:t>
            </w:r>
          </w:p>
        </w:tc>
        <w:tc>
          <w:tcPr>
            <w:tcW w:w="1083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Header"/>
              <w:widowControl/>
              <w:rPr>
                <w:lang w:val="bg-BG"/>
              </w:rPr>
            </w:pPr>
            <w:r>
              <w:rPr>
                <w:lang w:val="bg-BG"/>
              </w:rPr>
              <w:t>1/</w:t>
            </w:r>
            <w:r>
              <w:rPr>
                <w:i/>
                <w:lang w:val="bg-BG"/>
              </w:rPr>
              <w:t>вс.стр.</w:t>
            </w:r>
          </w:p>
        </w:tc>
      </w:tr>
      <w:tr>
        <w:trPr>
          <w:cantSplit/>
        </w:trPr>
        <w:tc>
          <w:tcPr>
            <w:tcW w:w="3119" w:type="dxa"/>
            <w:gridSpan w:val="2"/>
            <w:vMerge w:val="continue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Header"/>
              <w:widowControl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4536" w:type="dxa"/>
            <w:tcBorders>
              <w:top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Header"/>
              <w:widowControl/>
              <w:snapToGrid w:val="false"/>
              <w:rPr>
                <w:i/>
                <w:lang w:val="bg-BG"/>
              </w:rPr>
            </w:pPr>
            <w:r>
              <w:rPr>
                <w:i/>
                <w:lang w:val="bg-BG"/>
              </w:rPr>
            </w:r>
          </w:p>
          <w:p>
            <w:pPr>
              <w:pStyle w:val="Header"/>
              <w:widowControl/>
              <w:rPr>
                <w:i/>
                <w:lang w:val="bg-BG"/>
              </w:rPr>
            </w:pPr>
            <w:r>
              <w:rPr>
                <w:i/>
                <w:lang w:val="bg-BG"/>
              </w:rPr>
              <w:t>Наименование на документа</w:t>
            </w:r>
          </w:p>
          <w:p>
            <w:pPr>
              <w:pStyle w:val="Header"/>
              <w:widowControl/>
              <w:rPr>
                <w:i/>
                <w:lang w:val="bg-BG"/>
              </w:rPr>
            </w:pPr>
            <w:r>
              <w:rPr>
                <w:i/>
                <w:lang w:val="bg-BG"/>
              </w:rPr>
            </w:r>
          </w:p>
        </w:tc>
        <w:tc>
          <w:tcPr>
            <w:tcW w:w="1134" w:type="dxa"/>
            <w:tcBorders>
              <w:top w:val="single" w:sz="12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Header"/>
              <w:widowControl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Header"/>
              <w:widowControl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Header"/>
              <w:widowControl/>
              <w:rPr>
                <w:lang w:val="bg-BG"/>
              </w:rPr>
            </w:pPr>
            <w:r>
              <w:rPr>
                <w:lang w:val="bg-BG"/>
              </w:rPr>
              <w:t>Подпис:</w:t>
            </w:r>
          </w:p>
        </w:tc>
        <w:tc>
          <w:tcPr>
            <w:tcW w:w="1083" w:type="dxa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Header"/>
              <w:widowControl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Header"/>
              <w:widowControl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Header"/>
              <w:widowControl/>
              <w:rPr>
                <w:lang w:val="bg-BG"/>
              </w:rPr>
            </w:pPr>
            <w:r>
              <w:rPr>
                <w:lang w:val="bg-BG"/>
              </w:rPr>
              <w:t>Дата:</w:t>
            </w:r>
          </w:p>
        </w:tc>
      </w:tr>
      <w:tr>
        <w:trPr>
          <w:cantSplit/>
        </w:trPr>
        <w:tc>
          <w:tcPr>
            <w:tcW w:w="1276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er"/>
              <w:widowControl/>
              <w:rPr>
                <w:lang w:val="bg-BG"/>
              </w:rPr>
            </w:pPr>
            <w:r>
              <w:rPr>
                <w:lang w:val="bg-BG"/>
              </w:rPr>
              <w:t>Разработил:</w:t>
            </w:r>
          </w:p>
        </w:tc>
        <w:tc>
          <w:tcPr>
            <w:tcW w:w="6379" w:type="dxa"/>
            <w:gridSpan w:val="2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Header"/>
              <w:widowControl/>
              <w:rPr>
                <w:lang w:val="bg-BG"/>
              </w:rPr>
            </w:pPr>
            <w:r>
              <w:rPr>
                <w:i/>
                <w:lang w:val="bg-BG"/>
              </w:rPr>
              <w:t>Длъжностно лице, разработило документа</w:t>
            </w:r>
          </w:p>
        </w:tc>
        <w:tc>
          <w:tcPr>
            <w:tcW w:w="1134" w:type="dxa"/>
            <w:tcBorders>
              <w:top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er"/>
              <w:widowControl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083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Header"/>
              <w:widowControl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1276" w:type="dxa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Header"/>
              <w:widowControl/>
              <w:rPr>
                <w:lang w:val="bg-BG"/>
              </w:rPr>
            </w:pPr>
            <w:r>
              <w:rPr>
                <w:lang w:val="bg-BG"/>
              </w:rPr>
              <w:t>Утвърдил:</w:t>
            </w:r>
          </w:p>
        </w:tc>
        <w:tc>
          <w:tcPr>
            <w:tcW w:w="6379" w:type="dxa"/>
            <w:gridSpan w:val="2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Header"/>
              <w:widowControl/>
              <w:rPr>
                <w:lang w:val="bg-BG"/>
              </w:rPr>
            </w:pPr>
            <w:r>
              <w:rPr>
                <w:i/>
                <w:lang w:val="bg-BG"/>
              </w:rPr>
              <w:t>Длъжностно лице, одобрило документа</w:t>
            </w:r>
          </w:p>
        </w:tc>
        <w:tc>
          <w:tcPr>
            <w:tcW w:w="1134" w:type="dxa"/>
            <w:tcBorders>
              <w:top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Header"/>
              <w:widowControl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083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Header"/>
              <w:widowControl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</w:tbl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/>
      </w:pPr>
      <w:r>
        <w:rPr/>
        <w:t>За втора и следващи страници:</w:t>
      </w:r>
    </w:p>
    <w:tbl>
      <w:tblPr>
        <w:tblW w:w="99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797"/>
        <w:gridCol w:w="1134"/>
        <w:gridCol w:w="992"/>
      </w:tblGrid>
      <w:tr>
        <w:trPr>
          <w:cantSplit/>
        </w:trPr>
        <w:tc>
          <w:tcPr>
            <w:tcW w:w="7797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Header"/>
              <w:widowControl/>
              <w:rPr>
                <w:lang w:val="bg-BG"/>
              </w:rPr>
            </w:pPr>
            <w:r>
              <w:rPr>
                <w:i/>
                <w:lang w:val="bg-BG"/>
              </w:rPr>
              <w:t>Идентификационен код</w:t>
            </w:r>
          </w:p>
        </w:tc>
        <w:tc>
          <w:tcPr>
            <w:tcW w:w="1134" w:type="dxa"/>
            <w:tcBorders>
              <w:top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er"/>
              <w:widowControl/>
              <w:rPr>
                <w:lang w:val="bg-BG"/>
              </w:rPr>
            </w:pPr>
            <w:r>
              <w:rPr>
                <w:lang w:val="ru-RU"/>
              </w:rPr>
              <w:t>Версия</w:t>
            </w:r>
          </w:p>
        </w:tc>
        <w:tc>
          <w:tcPr>
            <w:tcW w:w="992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Header"/>
              <w:widowControl/>
              <w:rPr>
                <w:i/>
                <w:lang w:val="bg-BG"/>
              </w:rPr>
            </w:pPr>
            <w:r>
              <w:rPr>
                <w:i/>
                <w:lang w:val="bg-BG"/>
              </w:rPr>
              <w:t>поредна</w:t>
            </w:r>
          </w:p>
        </w:tc>
      </w:tr>
      <w:tr>
        <w:trPr>
          <w:cantSplit/>
        </w:trPr>
        <w:tc>
          <w:tcPr>
            <w:tcW w:w="7797" w:type="dxa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Header"/>
              <w:widowControl/>
              <w:rPr>
                <w:lang w:val="en-US"/>
              </w:rPr>
            </w:pPr>
            <w:r>
              <w:rPr>
                <w:lang w:val="en-US"/>
              </w:rPr>
              <w:t>ISO</w:t>
            </w:r>
            <w:r>
              <w:rPr>
                <w:lang w:val="bg-BG"/>
              </w:rPr>
              <w:t xml:space="preserve"> 9001:</w:t>
            </w:r>
            <w:r>
              <w:rPr>
                <w:lang w:val="en-US"/>
              </w:rPr>
              <w:t>2015; ISO 14001:2015; ISO 45001:2018</w:t>
            </w:r>
          </w:p>
        </w:tc>
        <w:tc>
          <w:tcPr>
            <w:tcW w:w="1134" w:type="dxa"/>
            <w:tcBorders>
              <w:top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Header"/>
              <w:widowControl/>
              <w:rPr>
                <w:lang w:val="bg-BG"/>
              </w:rPr>
            </w:pPr>
            <w:r>
              <w:rPr>
                <w:lang w:val="bg-BG"/>
              </w:rPr>
              <w:t>Стр.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Header"/>
              <w:widowControl/>
              <w:jc w:val="center"/>
              <w:rPr>
                <w:lang w:val="bg-BG"/>
              </w:rPr>
            </w:pPr>
            <w:r>
              <w:rPr>
                <w:i/>
                <w:lang w:val="bg-BG"/>
              </w:rPr>
              <w:t>пор./вс.</w:t>
            </w:r>
          </w:p>
        </w:tc>
      </w:tr>
      <w:tr>
        <w:trPr>
          <w:cantSplit/>
        </w:trPr>
        <w:tc>
          <w:tcPr>
            <w:tcW w:w="9923" w:type="dxa"/>
            <w:gridSpan w:val="3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Header"/>
              <w:widowControl/>
              <w:jc w:val="center"/>
              <w:rPr>
                <w:b/>
                <w:lang w:val="bg-BG"/>
              </w:rPr>
            </w:pPr>
            <w:r>
              <w:rPr>
                <w:i/>
                <w:lang w:val="bg-BG"/>
              </w:rPr>
              <w:t>Наименование на документа</w:t>
            </w:r>
          </w:p>
        </w:tc>
      </w:tr>
    </w:tbl>
    <w:p>
      <w:pPr>
        <w:pStyle w:val="Normal"/>
        <w:widowControl/>
        <w:jc w:val="both"/>
        <w:rPr>
          <w:b/>
          <w:i/>
          <w:sz w:val="24"/>
          <w:lang w:val="bg-BG"/>
        </w:rPr>
      </w:pPr>
      <w:r>
        <w:rPr>
          <w:b/>
          <w:i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7.2.3. Оперативни документи: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/>
      </w:pPr>
      <w:r>
        <w:rPr/>
        <w:t>За първа страница:</w:t>
      </w:r>
    </w:p>
    <w:tbl>
      <w:tblPr>
        <w:tblW w:w="99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044"/>
        <w:gridCol w:w="4536"/>
        <w:gridCol w:w="1134"/>
        <w:gridCol w:w="1209"/>
      </w:tblGrid>
      <w:tr>
        <w:trPr>
          <w:cantSplit/>
        </w:trPr>
        <w:tc>
          <w:tcPr>
            <w:tcW w:w="3044" w:type="dxa"/>
            <w:vMerge w:val="restart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  <w:p>
            <w:pPr>
              <w:pStyle w:val="Normal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4536" w:type="dxa"/>
            <w:tcBorders>
              <w:top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Header"/>
              <w:widowControl/>
              <w:rPr>
                <w:lang w:val="bg-BG"/>
              </w:rPr>
            </w:pPr>
            <w:r>
              <w:rPr>
                <w:i/>
                <w:lang w:val="bg-BG"/>
              </w:rPr>
              <w:t>Идентификационен код</w:t>
            </w:r>
          </w:p>
        </w:tc>
        <w:tc>
          <w:tcPr>
            <w:tcW w:w="1134" w:type="dxa"/>
            <w:tcBorders>
              <w:top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er"/>
              <w:widowControl/>
              <w:rPr>
                <w:lang w:val="bg-BG"/>
              </w:rPr>
            </w:pPr>
            <w:r>
              <w:rPr>
                <w:lang w:val="ru-RU"/>
              </w:rPr>
              <w:t>Версия</w:t>
            </w:r>
          </w:p>
        </w:tc>
        <w:tc>
          <w:tcPr>
            <w:tcW w:w="1209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Header"/>
              <w:widowControl/>
              <w:rPr>
                <w:i/>
                <w:lang w:val="bg-BG"/>
              </w:rPr>
            </w:pPr>
            <w:r>
              <w:rPr>
                <w:i/>
                <w:lang w:val="bg-BG"/>
              </w:rPr>
              <w:t>поредна</w:t>
            </w:r>
          </w:p>
        </w:tc>
      </w:tr>
      <w:tr>
        <w:trPr>
          <w:cantSplit/>
        </w:trPr>
        <w:tc>
          <w:tcPr>
            <w:tcW w:w="3044" w:type="dxa"/>
            <w:vMerge w:val="continue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</w:tcPr>
          <w:p>
            <w:pPr>
              <w:pStyle w:val="Header"/>
              <w:widowControl/>
              <w:snapToGrid w:val="false"/>
              <w:rPr>
                <w:i/>
                <w:lang w:val="bg-BG"/>
              </w:rPr>
            </w:pPr>
            <w:r>
              <w:rPr>
                <w:i/>
                <w:lang w:val="bg-BG"/>
              </w:rPr>
            </w:r>
          </w:p>
        </w:tc>
        <w:tc>
          <w:tcPr>
            <w:tcW w:w="4536" w:type="dxa"/>
            <w:tcBorders>
              <w:top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Header"/>
              <w:widowControl/>
              <w:rPr>
                <w:lang w:val="en-US"/>
              </w:rPr>
            </w:pPr>
            <w:r>
              <w:rPr>
                <w:lang w:val="en-US"/>
              </w:rPr>
              <w:t>ISO</w:t>
            </w:r>
            <w:r>
              <w:rPr>
                <w:lang w:val="bg-BG"/>
              </w:rPr>
              <w:t xml:space="preserve"> 9001:</w:t>
            </w:r>
            <w:r>
              <w:rPr>
                <w:lang w:val="en-US"/>
              </w:rPr>
              <w:t>2015; ISO 14001:2015; ISO 45001:2018</w:t>
            </w:r>
          </w:p>
        </w:tc>
        <w:tc>
          <w:tcPr>
            <w:tcW w:w="1134" w:type="dxa"/>
            <w:tcBorders>
              <w:top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Header"/>
              <w:widowControl/>
              <w:rPr>
                <w:lang w:val="bg-BG"/>
              </w:rPr>
            </w:pPr>
            <w:r>
              <w:rPr>
                <w:lang w:val="bg-BG"/>
              </w:rPr>
              <w:t>Стр.</w:t>
            </w:r>
          </w:p>
        </w:tc>
        <w:tc>
          <w:tcPr>
            <w:tcW w:w="1209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Header"/>
              <w:widowControl/>
              <w:rPr>
                <w:lang w:val="bg-BG"/>
              </w:rPr>
            </w:pPr>
            <w:r>
              <w:rPr>
                <w:lang w:val="bg-BG"/>
              </w:rPr>
              <w:t>1/</w:t>
            </w:r>
            <w:r>
              <w:rPr>
                <w:i/>
                <w:lang w:val="bg-BG"/>
              </w:rPr>
              <w:t>вс.стр.</w:t>
            </w:r>
          </w:p>
        </w:tc>
      </w:tr>
      <w:tr>
        <w:trPr>
          <w:cantSplit/>
        </w:trPr>
        <w:tc>
          <w:tcPr>
            <w:tcW w:w="3044" w:type="dxa"/>
            <w:vMerge w:val="continue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</w:tcPr>
          <w:p>
            <w:pPr>
              <w:pStyle w:val="Header"/>
              <w:widowControl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6879" w:type="dxa"/>
            <w:gridSpan w:val="3"/>
            <w:tcBorders>
              <w:top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Header"/>
              <w:widowControl/>
              <w:snapToGrid w:val="false"/>
              <w:jc w:val="center"/>
              <w:rPr>
                <w:i/>
                <w:lang w:val="en-US"/>
              </w:rPr>
            </w:pPr>
            <w:r>
              <w:rPr>
                <w:i/>
                <w:lang w:val="en-US"/>
              </w:rPr>
            </w:r>
          </w:p>
          <w:p>
            <w:pPr>
              <w:pStyle w:val="Header"/>
              <w:widowControl/>
              <w:jc w:val="center"/>
              <w:rPr>
                <w:i/>
                <w:lang w:val="bg-BG"/>
              </w:rPr>
            </w:pPr>
            <w:r>
              <w:rPr>
                <w:i/>
                <w:lang w:val="bg-BG"/>
              </w:rPr>
              <w:t>Наименование на документа</w:t>
            </w:r>
          </w:p>
          <w:p>
            <w:pPr>
              <w:pStyle w:val="Header"/>
              <w:widowControl/>
              <w:jc w:val="center"/>
              <w:rPr>
                <w:b/>
                <w:i/>
                <w:lang w:val="bg-BG"/>
              </w:rPr>
            </w:pPr>
            <w:r>
              <w:rPr>
                <w:b/>
                <w:i/>
                <w:lang w:val="bg-BG"/>
              </w:rPr>
            </w:r>
          </w:p>
        </w:tc>
      </w:tr>
    </w:tbl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  <w:t>Първа страница на всеки оперативен документ трябва да съдържа в долния си край таблица, която да указва автора на документа и длъжностното лице, което го утвърждава. При използване на документа за изготвяне на записи, тази таблица се отстранява.</w:t>
      </w:r>
    </w:p>
    <w:p>
      <w:pPr>
        <w:pStyle w:val="Normal"/>
        <w:widowControl/>
        <w:jc w:val="both"/>
        <w:rPr>
          <w:sz w:val="24"/>
          <w:lang w:val="en-US"/>
        </w:rPr>
      </w:pPr>
      <w:r>
        <w:rPr>
          <w:sz w:val="24"/>
          <w:lang w:val="en-US"/>
        </w:rPr>
      </w:r>
    </w:p>
    <w:tbl>
      <w:tblPr>
        <w:tblW w:w="99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418"/>
        <w:gridCol w:w="5670"/>
        <w:gridCol w:w="1559"/>
        <w:gridCol w:w="1276"/>
      </w:tblGrid>
      <w:tr>
        <w:trPr/>
        <w:tc>
          <w:tcPr>
            <w:tcW w:w="1418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Footer"/>
              <w:rPr>
                <w:lang w:val="ru-RU"/>
              </w:rPr>
            </w:pPr>
            <w:r>
              <w:rPr>
                <w:lang w:val="bg-BG"/>
              </w:rPr>
              <w:t>Разработил:</w:t>
            </w:r>
          </w:p>
        </w:tc>
        <w:tc>
          <w:tcPr>
            <w:tcW w:w="5670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Footer"/>
              <w:rPr>
                <w:i/>
                <w:lang w:val="bg-BG"/>
              </w:rPr>
            </w:pPr>
            <w:r>
              <w:rPr>
                <w:i/>
                <w:lang w:val="bg-BG"/>
              </w:rPr>
              <w:t>Длъжностно лице, разработило документа</w:t>
            </w:r>
          </w:p>
        </w:tc>
        <w:tc>
          <w:tcPr>
            <w:tcW w:w="1559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Footer"/>
              <w:rPr>
                <w:lang w:val="ru-RU"/>
              </w:rPr>
            </w:pPr>
            <w:r>
              <w:rPr>
                <w:lang w:val="bg-BG"/>
              </w:rPr>
              <w:t>Подпис:</w:t>
            </w:r>
          </w:p>
        </w:tc>
        <w:tc>
          <w:tcPr>
            <w:tcW w:w="1276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Footer"/>
              <w:rPr>
                <w:lang w:val="ru-RU"/>
              </w:rPr>
            </w:pPr>
            <w:r>
              <w:rPr>
                <w:lang w:val="bg-BG"/>
              </w:rPr>
              <w:t>Дата:</w:t>
            </w:r>
          </w:p>
        </w:tc>
      </w:tr>
      <w:tr>
        <w:trPr/>
        <w:tc>
          <w:tcPr>
            <w:tcW w:w="1418" w:type="dxa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Footer"/>
              <w:rPr>
                <w:lang w:val="ru-RU"/>
              </w:rPr>
            </w:pPr>
            <w:r>
              <w:rPr>
                <w:lang w:val="bg-BG"/>
              </w:rPr>
              <w:t>Утвърдил:</w:t>
            </w:r>
          </w:p>
        </w:tc>
        <w:tc>
          <w:tcPr>
            <w:tcW w:w="5670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Footer"/>
              <w:rPr>
                <w:i/>
                <w:lang w:val="bg-BG"/>
              </w:rPr>
            </w:pPr>
            <w:r>
              <w:rPr>
                <w:i/>
                <w:lang w:val="bg-BG"/>
              </w:rPr>
              <w:t>Длъжностно лице, одобрило документа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Footer"/>
              <w:rPr>
                <w:lang w:val="ru-RU"/>
              </w:rPr>
            </w:pPr>
            <w:r>
              <w:rPr>
                <w:lang w:val="bg-BG"/>
              </w:rPr>
              <w:t>Подпис: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Footer"/>
              <w:rPr>
                <w:lang w:val="ru-RU"/>
              </w:rPr>
            </w:pPr>
            <w:r>
              <w:rPr>
                <w:lang w:val="bg-BG"/>
              </w:rPr>
              <w:t>Дата:</w:t>
            </w:r>
          </w:p>
        </w:tc>
      </w:tr>
    </w:tbl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sz w:val="24"/>
          <w:lang w:val="bg-BG"/>
        </w:rPr>
        <w:t>Идентификацията на документите става чрез буквено-цифров код:</w:t>
      </w:r>
    </w:p>
    <w:p>
      <w:pPr>
        <w:pStyle w:val="Normal"/>
        <w:widowControl/>
        <w:jc w:val="both"/>
        <w:rPr/>
      </w:pPr>
      <w:r>
        <w:rPr>
          <w:b/>
          <w:sz w:val="24"/>
          <w:lang w:val="bg-BG"/>
        </w:rPr>
        <w:t xml:space="preserve">ХХ АА.ВВ.СС - Е 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  <w:t>където:</w:t>
      </w:r>
    </w:p>
    <w:p>
      <w:pPr>
        <w:pStyle w:val="Normal"/>
        <w:widowControl/>
        <w:jc w:val="both"/>
        <w:rPr/>
      </w:pPr>
      <w:r>
        <w:rPr>
          <w:b/>
          <w:sz w:val="24"/>
          <w:lang w:val="en-US"/>
        </w:rPr>
        <w:t>XX</w:t>
      </w:r>
      <w:r>
        <w:rPr>
          <w:sz w:val="24"/>
          <w:lang w:val="bg-BG"/>
        </w:rPr>
        <w:t xml:space="preserve"> - определя вида на документа -</w:t>
      </w:r>
    </w:p>
    <w:p>
      <w:pPr>
        <w:pStyle w:val="Normal"/>
        <w:widowControl/>
        <w:numPr>
          <w:ilvl w:val="0"/>
          <w:numId w:val="12"/>
        </w:numPr>
        <w:ind w:hanging="0" w:start="0" w:end="0"/>
        <w:jc w:val="both"/>
        <w:rPr>
          <w:sz w:val="24"/>
          <w:lang w:val="ru-RU"/>
        </w:rPr>
      </w:pPr>
      <w:r>
        <w:rPr>
          <w:sz w:val="24"/>
          <w:lang w:val="en-US"/>
        </w:rPr>
        <w:t>PK</w:t>
      </w:r>
      <w:r>
        <w:rPr>
          <w:sz w:val="24"/>
          <w:lang w:val="bg-BG"/>
        </w:rPr>
        <w:t xml:space="preserve"> – Процедура по качеството;</w:t>
      </w:r>
    </w:p>
    <w:p>
      <w:pPr>
        <w:pStyle w:val="Normal"/>
        <w:widowControl/>
        <w:numPr>
          <w:ilvl w:val="0"/>
          <w:numId w:val="12"/>
        </w:numPr>
        <w:ind w:hanging="0" w:start="0" w:end="0"/>
        <w:jc w:val="both"/>
        <w:rPr>
          <w:sz w:val="24"/>
          <w:lang w:val="ru-RU"/>
        </w:rPr>
      </w:pPr>
      <w:r>
        <w:rPr>
          <w:sz w:val="24"/>
          <w:lang w:val="en-US"/>
        </w:rPr>
        <w:t xml:space="preserve">PO – </w:t>
      </w:r>
      <w:r>
        <w:rPr>
          <w:sz w:val="24"/>
          <w:lang w:val="bg-BG"/>
        </w:rPr>
        <w:t>Процедура по околната среда</w:t>
      </w:r>
    </w:p>
    <w:p>
      <w:pPr>
        <w:pStyle w:val="Normal"/>
        <w:widowControl/>
        <w:numPr>
          <w:ilvl w:val="0"/>
          <w:numId w:val="12"/>
        </w:numPr>
        <w:ind w:hanging="0" w:start="0" w:end="0"/>
        <w:jc w:val="both"/>
        <w:rPr>
          <w:sz w:val="24"/>
          <w:lang w:val="ru-RU"/>
        </w:rPr>
      </w:pPr>
      <w:r>
        <w:rPr>
          <w:sz w:val="24"/>
          <w:lang w:val="bg-BG"/>
        </w:rPr>
        <w:t>Р</w:t>
      </w:r>
      <w:r>
        <w:rPr>
          <w:sz w:val="24"/>
          <w:lang w:val="en-US"/>
        </w:rPr>
        <w:t xml:space="preserve">ZBUT – </w:t>
      </w:r>
      <w:r>
        <w:rPr>
          <w:sz w:val="24"/>
          <w:lang w:val="bg-BG"/>
        </w:rPr>
        <w:t>процедура по здраве и безопасност</w:t>
      </w:r>
    </w:p>
    <w:p>
      <w:pPr>
        <w:pStyle w:val="Normal"/>
        <w:widowControl/>
        <w:numPr>
          <w:ilvl w:val="0"/>
          <w:numId w:val="12"/>
        </w:numPr>
        <w:ind w:hanging="0" w:start="0" w:end="0"/>
        <w:jc w:val="both"/>
        <w:rPr>
          <w:sz w:val="24"/>
          <w:lang w:val="ru-RU"/>
        </w:rPr>
      </w:pPr>
      <w:r>
        <w:rPr>
          <w:sz w:val="24"/>
          <w:lang w:val="en-US"/>
        </w:rPr>
        <w:t xml:space="preserve">RI </w:t>
      </w:r>
      <w:r>
        <w:rPr>
          <w:sz w:val="24"/>
          <w:lang w:val="bg-BG"/>
        </w:rPr>
        <w:t xml:space="preserve"> - Работна инструкция;</w:t>
      </w:r>
    </w:p>
    <w:p>
      <w:pPr>
        <w:pStyle w:val="Normal"/>
        <w:widowControl/>
        <w:numPr>
          <w:ilvl w:val="0"/>
          <w:numId w:val="12"/>
        </w:numPr>
        <w:ind w:hanging="0" w:start="0" w:end="0"/>
        <w:jc w:val="both"/>
        <w:rPr>
          <w:sz w:val="24"/>
          <w:lang w:val="ru-RU"/>
        </w:rPr>
      </w:pPr>
      <w:r>
        <w:rPr>
          <w:sz w:val="24"/>
          <w:lang w:val="en-US"/>
        </w:rPr>
        <w:t>OD</w:t>
      </w:r>
      <w:r>
        <w:rPr>
          <w:sz w:val="24"/>
          <w:lang w:val="bg-BG"/>
        </w:rPr>
        <w:t xml:space="preserve"> - Оперативен документ.</w:t>
      </w:r>
    </w:p>
    <w:p>
      <w:pPr>
        <w:pStyle w:val="Normal"/>
        <w:widowControl/>
        <w:jc w:val="both"/>
        <w:rPr/>
      </w:pPr>
      <w:r>
        <w:rPr>
          <w:b/>
          <w:sz w:val="24"/>
          <w:lang w:val="bg-BG"/>
        </w:rPr>
        <w:t>АА.ВВ.СС</w:t>
      </w:r>
      <w:r>
        <w:rPr>
          <w:sz w:val="24"/>
          <w:lang w:val="bg-BG"/>
        </w:rPr>
        <w:t xml:space="preserve"> - посочва номера на изискването, съгласно </w:t>
      </w:r>
      <w:r>
        <w:rPr>
          <w:sz w:val="24"/>
          <w:lang w:val="en-US"/>
        </w:rPr>
        <w:t>ISO</w:t>
      </w:r>
      <w:r>
        <w:rPr>
          <w:sz w:val="24"/>
          <w:lang w:val="bg-BG"/>
        </w:rPr>
        <w:t xml:space="preserve"> 9001:2015</w:t>
      </w:r>
      <w:r>
        <w:rPr>
          <w:sz w:val="24"/>
          <w:lang w:val="en-US"/>
        </w:rPr>
        <w:t>; ISO14001:2015; ISO</w:t>
      </w:r>
      <w:r>
        <w:rPr>
          <w:sz w:val="24"/>
          <w:lang w:val="bg-BG"/>
        </w:rPr>
        <w:t xml:space="preserve"> </w:t>
      </w:r>
      <w:r>
        <w:rPr>
          <w:sz w:val="24"/>
          <w:lang w:val="en-US"/>
        </w:rPr>
        <w:t>45001:2018</w:t>
      </w:r>
      <w:r>
        <w:rPr>
          <w:sz w:val="24"/>
          <w:lang w:val="bg-BG"/>
        </w:rPr>
        <w:t>.</w:t>
      </w:r>
    </w:p>
    <w:p>
      <w:pPr>
        <w:pStyle w:val="Normal"/>
        <w:widowControl/>
        <w:jc w:val="both"/>
        <w:rPr/>
      </w:pPr>
      <w:r>
        <w:rPr>
          <w:b/>
          <w:sz w:val="24"/>
          <w:lang w:val="ru-RU"/>
        </w:rPr>
        <w:t>Е</w:t>
      </w:r>
      <w:r>
        <w:rPr>
          <w:sz w:val="24"/>
          <w:lang w:val="bg-BG"/>
        </w:rPr>
        <w:t xml:space="preserve"> - показва поредния номер на оперативния документ или работна инструкция.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7.2.4. Препоръчителна структура на документите</w:t>
      </w:r>
    </w:p>
    <w:p>
      <w:pPr>
        <w:pStyle w:val="Heading2"/>
        <w:ind w:hanging="0" w:start="0"/>
        <w:rPr>
          <w:b/>
          <w:i w:val="false"/>
          <w:sz w:val="24"/>
          <w:lang w:val="bg-BG"/>
        </w:rPr>
      </w:pPr>
      <w:r>
        <w:rPr>
          <w:b/>
          <w:i w:val="false"/>
          <w:sz w:val="24"/>
          <w:lang w:val="bg-BG"/>
        </w:rPr>
      </w:r>
    </w:p>
    <w:p>
      <w:pPr>
        <w:pStyle w:val="Heading2"/>
        <w:ind w:hanging="0" w:start="0"/>
        <w:rPr>
          <w:i w:val="false"/>
        </w:rPr>
      </w:pPr>
      <w:r>
        <w:rPr>
          <w:i w:val="false"/>
        </w:rPr>
        <w:t>Процедурен документ за дейност</w:t>
      </w:r>
    </w:p>
    <w:p>
      <w:pPr>
        <w:pStyle w:val="Normal"/>
        <w:widowControl/>
        <w:numPr>
          <w:ilvl w:val="0"/>
          <w:numId w:val="12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Цел</w:t>
      </w:r>
    </w:p>
    <w:p>
      <w:pPr>
        <w:pStyle w:val="Normal"/>
        <w:widowControl/>
        <w:numPr>
          <w:ilvl w:val="0"/>
          <w:numId w:val="12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Област на приложение</w:t>
      </w:r>
    </w:p>
    <w:p>
      <w:pPr>
        <w:pStyle w:val="Normal"/>
        <w:widowControl/>
        <w:numPr>
          <w:ilvl w:val="0"/>
          <w:numId w:val="12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Отговорности</w:t>
      </w:r>
    </w:p>
    <w:p>
      <w:pPr>
        <w:pStyle w:val="Normal"/>
        <w:widowControl/>
        <w:numPr>
          <w:ilvl w:val="0"/>
          <w:numId w:val="12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Документи</w:t>
      </w:r>
    </w:p>
    <w:p>
      <w:pPr>
        <w:pStyle w:val="Normal"/>
        <w:widowControl/>
        <w:numPr>
          <w:ilvl w:val="0"/>
          <w:numId w:val="12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Практика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Heading2"/>
        <w:ind w:hanging="0" w:start="0"/>
        <w:rPr>
          <w:i w:val="false"/>
        </w:rPr>
      </w:pPr>
      <w:r>
        <w:rPr>
          <w:i w:val="false"/>
        </w:rPr>
        <w:t>Процедурен документ за процес</w:t>
      </w:r>
    </w:p>
    <w:p>
      <w:pPr>
        <w:pStyle w:val="Normal"/>
        <w:widowControl/>
        <w:numPr>
          <w:ilvl w:val="0"/>
          <w:numId w:val="12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Цел</w:t>
      </w:r>
    </w:p>
    <w:p>
      <w:pPr>
        <w:pStyle w:val="Normal"/>
        <w:widowControl/>
        <w:numPr>
          <w:ilvl w:val="0"/>
          <w:numId w:val="12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Съдържание на процеса</w:t>
      </w:r>
    </w:p>
    <w:p>
      <w:pPr>
        <w:pStyle w:val="Normal"/>
        <w:widowControl/>
        <w:numPr>
          <w:ilvl w:val="0"/>
          <w:numId w:val="12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Отговорности за извършване на процеса</w:t>
      </w:r>
    </w:p>
    <w:p>
      <w:pPr>
        <w:pStyle w:val="Normal"/>
        <w:widowControl/>
        <w:numPr>
          <w:ilvl w:val="0"/>
          <w:numId w:val="12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Потребител на процеса</w:t>
      </w:r>
    </w:p>
    <w:p>
      <w:pPr>
        <w:pStyle w:val="Normal"/>
        <w:widowControl/>
        <w:numPr>
          <w:ilvl w:val="0"/>
          <w:numId w:val="12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Критерии за оценяване на процеса</w:t>
      </w:r>
    </w:p>
    <w:p>
      <w:pPr>
        <w:pStyle w:val="Normal"/>
        <w:widowControl/>
        <w:numPr>
          <w:ilvl w:val="0"/>
          <w:numId w:val="12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Термини и определения</w:t>
      </w:r>
    </w:p>
    <w:p>
      <w:pPr>
        <w:pStyle w:val="Normal"/>
        <w:widowControl/>
        <w:numPr>
          <w:ilvl w:val="0"/>
          <w:numId w:val="3"/>
        </w:numPr>
        <w:jc w:val="both"/>
        <w:rPr>
          <w:b/>
          <w:sz w:val="24"/>
          <w:lang w:val="bg-BG"/>
        </w:rPr>
      </w:pPr>
      <w:r>
        <w:rPr>
          <w:sz w:val="24"/>
          <w:lang w:val="bg-BG"/>
        </w:rPr>
        <w:t xml:space="preserve">Процедура </w:t>
      </w:r>
    </w:p>
    <w:p>
      <w:pPr>
        <w:pStyle w:val="Normal"/>
        <w:widowControl/>
        <w:numPr>
          <w:ilvl w:val="0"/>
          <w:numId w:val="3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Свързани документи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  <w:t>Структурата на работните инструкции не се регламентира.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sz w:val="24"/>
          <w:lang w:val="bg-BG"/>
        </w:rPr>
        <w:t>В раздел ЦЕЛ се посочва предназначението на документа.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  <w:t>В раздел СЪДЪРЖАНИЕ НА ПРОЦЕСА се посочват вход на процеса, дейности, които трябва да бъдат извършени и изход на процеса.</w:t>
      </w:r>
    </w:p>
    <w:p>
      <w:pPr>
        <w:pStyle w:val="Normal"/>
        <w:widowControl/>
        <w:jc w:val="both"/>
        <w:rPr/>
      </w:pPr>
      <w:r>
        <w:rPr>
          <w:sz w:val="24"/>
          <w:lang w:val="bg-BG"/>
        </w:rPr>
        <w:t>В раздел ОТГОВОРНОСТИ (ОТГОВОРНОСТИ ЗА ИЗВЪРШВАНЕ НА ПРОЦЕСА) трябва да се посочат лицата, отговорни за изпълнение на дейностите – „собствениците на процеса”.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  <w:t>В раздел ПОТРЕБИТЕЛ НА ПРОЦЕСА се посочват процесите, които имат за вход изхода на описвания процес.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  <w:t>В раздел КРИТЕРИИ ЗА ОЦЕНЯВАНЕ НА ПРОЦЕСА се посочват показателите, по които ще се оценява ефективното и ефикасно протичане на процеса.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  <w:t>В раздел ТЕРМИНИ И ОПРЕДЕЛЕНИЯ се дефинират специфичните думи и изрази, използвани в процедурния документ. Този раздел се разработва при необходимост.</w:t>
      </w:r>
    </w:p>
    <w:p>
      <w:pPr>
        <w:pStyle w:val="Normal"/>
        <w:widowControl/>
        <w:jc w:val="both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  <w:t>В раздел ПРОЦЕДУРА трябва да се даде структурата и съдържанието на процеса или процедурата, като ясно се описва последователността от действия, които трябва да бъдат предприети за извършване на дейността - какво трябва да бъде направено, от кого, кога, къде и как трябва да бъде направено, какви документи трябва да бъдат използвани, по какъв начин това трябва да бъде управлявано и записано. Описанието може да съдържа и блок-схеми, таблици и други графични средства за поясняване на информацията.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  <w:t>В раздел ДОКУМЕНТИ (СВЪРЗАНИ ДОКУМЕНТИ) се посочват идентификационния номер и наименованието на стандарти, закони, правилници, наредби и процедурни документи, на които в разработвания документ е направено позоваване или са свързани с него. Като последни в списъка се посочват оперативните документи, генерирани от разработвания документ, които ще бъдат използвани за създаване на записи по качеството.</w:t>
      </w:r>
    </w:p>
    <w:p>
      <w:pPr>
        <w:pStyle w:val="Normal"/>
        <w:widowControl/>
        <w:jc w:val="both"/>
        <w:rPr>
          <w:color w:val="FF0000"/>
          <w:sz w:val="24"/>
          <w:lang w:val="bg-BG"/>
        </w:rPr>
      </w:pPr>
      <w:r>
        <w:rPr>
          <w:color w:val="FF0000"/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7.3. Издаване на документи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sz w:val="24"/>
          <w:lang w:val="bg-BG"/>
        </w:rPr>
        <w:t>Мениджърът на Системата, съгласувано с Управителя и съответните сътрудници, разработва документите, като ги съобразява с:</w:t>
      </w:r>
    </w:p>
    <w:p>
      <w:pPr>
        <w:pStyle w:val="Normal"/>
        <w:widowControl/>
        <w:numPr>
          <w:ilvl w:val="0"/>
          <w:numId w:val="2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изискванията на стандартите;</w:t>
      </w:r>
    </w:p>
    <w:p>
      <w:pPr>
        <w:pStyle w:val="Normal"/>
        <w:widowControl/>
        <w:numPr>
          <w:ilvl w:val="0"/>
          <w:numId w:val="2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практиката на фирмата;</w:t>
      </w:r>
    </w:p>
    <w:p>
      <w:pPr>
        <w:pStyle w:val="Normal"/>
        <w:widowControl/>
        <w:numPr>
          <w:ilvl w:val="0"/>
          <w:numId w:val="2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изискванията на заинтересованите страни.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  <w:t>За да се осигури съответствието на документите с изискванията на заинтересованите страни трябва да се имат предвид:</w:t>
      </w:r>
    </w:p>
    <w:p>
      <w:pPr>
        <w:pStyle w:val="Normal"/>
        <w:widowControl/>
        <w:numPr>
          <w:ilvl w:val="0"/>
          <w:numId w:val="9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установени взаимоотношения между фирмата и клиентите;</w:t>
      </w:r>
    </w:p>
    <w:p>
      <w:pPr>
        <w:pStyle w:val="Normal"/>
        <w:widowControl/>
        <w:numPr>
          <w:ilvl w:val="0"/>
          <w:numId w:val="9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приложими законови и други регулативни изисквания;</w:t>
      </w:r>
    </w:p>
    <w:p>
      <w:pPr>
        <w:pStyle w:val="Normal"/>
        <w:widowControl/>
        <w:numPr>
          <w:ilvl w:val="0"/>
          <w:numId w:val="9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управленски решения;</w:t>
      </w:r>
    </w:p>
    <w:p>
      <w:pPr>
        <w:pStyle w:val="Normal"/>
        <w:widowControl/>
        <w:numPr>
          <w:ilvl w:val="0"/>
          <w:numId w:val="9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външна информация за изискванията на пазара.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sz w:val="24"/>
          <w:lang w:val="bg-BG"/>
        </w:rPr>
        <w:t>Мениджърът на Системата, съвместно със сътрудници и съгласувано с Управителя, разработва новите версии на документите. МК ги редактира, оформя и ги представя на Управителя за преглед и утвърждаване. Мениджърът на системата включва всички утвърдени документи в „Списък на документираната информация”, като съхранява оригиналите. Списъкът е включен за удобство като неразделна част от Наръчника на системата, като Приложение 1.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7.4. Разпространение на документите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sz w:val="24"/>
          <w:lang w:val="bg-BG"/>
        </w:rPr>
        <w:t xml:space="preserve">При ползване от персонала на контролирани документи на хартия МК поддържа „Списък на ползвателите“ </w:t>
      </w:r>
      <w:r>
        <w:rPr>
          <w:sz w:val="24"/>
          <w:lang w:val="en-US"/>
        </w:rPr>
        <w:t>OD</w:t>
      </w:r>
      <w:r>
        <w:rPr>
          <w:sz w:val="24"/>
          <w:lang w:val="ru-RU"/>
        </w:rPr>
        <w:t xml:space="preserve"> 07.05.00</w:t>
      </w:r>
      <w:r>
        <w:rPr>
          <w:sz w:val="24"/>
          <w:lang w:val="bg-BG"/>
        </w:rPr>
        <w:t>-2 за всички одобрени фирмени документи, в който всеки ползвател с подписа си удостоверява, че е получил съответния документ. Ползватели са всички лица, които отговарят за изпълнението или са засегнати от дейността.</w:t>
      </w:r>
    </w:p>
    <w:p>
      <w:pPr>
        <w:pStyle w:val="Normal"/>
        <w:widowControl/>
        <w:jc w:val="both"/>
        <w:rPr/>
      </w:pPr>
      <w:r>
        <w:rPr>
          <w:sz w:val="24"/>
          <w:lang w:val="bg-BG"/>
        </w:rPr>
        <w:t>Документите, предназначени за ползване на различни работни места са:</w:t>
      </w:r>
    </w:p>
    <w:p>
      <w:pPr>
        <w:pStyle w:val="Normal"/>
        <w:widowControl/>
        <w:numPr>
          <w:ilvl w:val="0"/>
          <w:numId w:val="10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актуални;</w:t>
      </w:r>
    </w:p>
    <w:p>
      <w:pPr>
        <w:pStyle w:val="Normal"/>
        <w:widowControl/>
        <w:numPr>
          <w:ilvl w:val="0"/>
          <w:numId w:val="10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четливи и идентифицирани.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  <w:t>Изградената във фирмата система за вътрешни комуникации осигурява контролируем достъп до документите на всички заинтересовани лица.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sz w:val="24"/>
          <w:lang w:val="bg-BG"/>
        </w:rPr>
        <w:t xml:space="preserve">При разпространение на документи в електронен вид се прилагат изискванията на фирмената информационна система относно управлението на документите. </w:t>
      </w:r>
      <w:r>
        <w:rPr>
          <w:sz w:val="24"/>
          <w:lang w:val="en-US"/>
        </w:rPr>
        <w:t xml:space="preserve">До </w:t>
      </w:r>
      <w:r>
        <w:rPr>
          <w:sz w:val="24"/>
          <w:lang w:val="bg-BG"/>
        </w:rPr>
        <w:t>документите</w:t>
      </w:r>
      <w:r>
        <w:rPr>
          <w:sz w:val="24"/>
          <w:lang w:val="en-US"/>
        </w:rPr>
        <w:t xml:space="preserve"> имат контролиран достъп всички заинтересовани служители. Управителят може да разпорежда специален режим на достъп до някои </w:t>
      </w:r>
      <w:r>
        <w:rPr>
          <w:sz w:val="24"/>
          <w:lang w:val="bg-BG"/>
        </w:rPr>
        <w:t>документи</w:t>
      </w:r>
      <w:r>
        <w:rPr>
          <w:sz w:val="24"/>
          <w:lang w:val="en-US"/>
        </w:rPr>
        <w:t xml:space="preserve">, които са определени като фирмена тайна. </w:t>
      </w:r>
    </w:p>
    <w:p>
      <w:pPr>
        <w:pStyle w:val="Normal"/>
        <w:widowControl/>
        <w:jc w:val="both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7.5. Изменение на документите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sz w:val="24"/>
          <w:lang w:val="bg-BG"/>
        </w:rPr>
        <w:t xml:space="preserve">Мениджърът на системата организира обсъждане на промяната със заинтересованите сътрудници - при постигнато съгласие подготвя нова версия на документа и го представя на Управителя за преглед и утвърждаване. Измененията в документите се внасят с промяна на версията и подмяна на целия документ. След одобрение на новата версия на документа, МК отразява промяната в „Списък на документираната информация” </w:t>
      </w:r>
      <w:r>
        <w:rPr>
          <w:sz w:val="24"/>
          <w:lang w:val="en-US"/>
        </w:rPr>
        <w:t>OD</w:t>
      </w:r>
      <w:r>
        <w:rPr>
          <w:sz w:val="24"/>
          <w:lang w:val="bg-BG"/>
        </w:rPr>
        <w:t xml:space="preserve"> 07.05.00-1, като изземва старите копия от съответните получатели. За да предотврати използването на невалидни и/или неактуални хартиени документи МК отбелязва в „Списък на ползвателите” - </w:t>
      </w:r>
      <w:r>
        <w:rPr>
          <w:sz w:val="24"/>
          <w:lang w:val="en-US"/>
        </w:rPr>
        <w:t>OD</w:t>
      </w:r>
      <w:r>
        <w:rPr>
          <w:sz w:val="24"/>
          <w:lang w:val="ru-RU"/>
        </w:rPr>
        <w:t xml:space="preserve"> 07.05.00</w:t>
      </w:r>
      <w:r>
        <w:rPr>
          <w:sz w:val="24"/>
          <w:lang w:val="bg-BG"/>
        </w:rPr>
        <w:t>-2 датата на предаване на новите документи и на изземване на старите документи.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7.6. Управление на излезли от употреба документи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sz w:val="24"/>
          <w:lang w:val="bg-BG"/>
        </w:rPr>
        <w:t>Мениджърът на системата съхранява оригиналите на хартия на всички изменени документи в архив, от който могат да бъдат проследени измененията. За запазване на информацията и проследимост, Мениджърът на системата маркира неактуалния оригинал на документа с надпис „НЕ Е ПОСЛЕДНО!". Мениджърът на системата изземва всички неактуални документи от ползвателите и ги прави невалидни посредством диагонална линия и подпис върху съдържанието.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b/>
          <w:sz w:val="24"/>
          <w:lang w:val="bg-BG"/>
        </w:rPr>
        <w:t>7.7. Управление на документи в електронен формат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  <w:t xml:space="preserve">Настоящата процедура регламентира управлението на документи на хартиен носител. Същите правила и принципи са приложими относно създаването, разпространението и управлението на документи в електронен вид. При тези документи форматът и дизайнът на документите са определени от изискванията на фирмената информационна система относно управлението на документооборота. 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en-US"/>
        </w:rPr>
      </w:pPr>
      <w:r>
        <w:rPr>
          <w:sz w:val="24"/>
          <w:lang w:val="bg-BG"/>
        </w:rPr>
        <w:t>Наръчникът на Системата е на свободен достъп във фирмената мрежа. Процедури и работни инструкции са със съответните нива на достъп, съобразен с правото на достъп на лицата, които ги прилагат. Всички документи, ползвани в електронен вид са във формат само за четене. Право за внасяне на изменения в документите има само Мениджъра на системата.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  <w:t>Мениджърът на системата предава съответните процедури и други документи на съответните ползватели чрез електронна поща, като се осигурява обратна връзка за потвърждение на получаването им.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  <w:t xml:space="preserve">При архивирането на записи в електронен вид, представляващи документирана информация, се прилагат подходящи методи за съхранение върху електронни и оптични носители. При необходимост се създават дублиращи архивни копия и допълнителни мерки за опазване на информацията. При управлението на документите са приложени и изискванията на фирмената Система за информационна сигурност.  </w:t>
      </w:r>
    </w:p>
    <w:p>
      <w:pPr>
        <w:pStyle w:val="Normal"/>
        <w:widowControl/>
        <w:jc w:val="both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widowControl/>
        <w:jc w:val="both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  <w:t>7.8. Управление на външни документи</w:t>
      </w:r>
    </w:p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widowControl/>
        <w:jc w:val="both"/>
        <w:rPr/>
      </w:pPr>
      <w:r>
        <w:rPr>
          <w:sz w:val="24"/>
          <w:lang w:val="bg-BG"/>
        </w:rPr>
        <w:t>За регистриране и разпространение на използваните във фирмата външни документи като закони, нормативни активи и други фирмени документи, имащи отношение към Системата за управление. отговаря Мениджъра на системата, който ги завежда в Списък на външните документи – Приложение 2 към Наръчника на Системата. Идентификацията на външните документи е чрез информацията, която носят. Прилагат се автоматизирани информационни системи за ползване на нормативни документи.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b/>
          <w:sz w:val="24"/>
          <w:lang w:val="en-US"/>
        </w:rPr>
      </w:pPr>
      <w:r>
        <w:rPr>
          <w:b/>
          <w:sz w:val="24"/>
          <w:lang w:val="bg-BG"/>
        </w:rPr>
        <w:t>8. СВЪРЗАНИ ДОКУМЕНТИ</w:t>
      </w:r>
    </w:p>
    <w:p>
      <w:pPr>
        <w:pStyle w:val="Normal"/>
        <w:widowControl/>
        <w:jc w:val="both"/>
        <w:rPr>
          <w:b/>
          <w:sz w:val="24"/>
          <w:lang w:val="en-US"/>
        </w:rPr>
      </w:pPr>
      <w:r>
        <w:rPr>
          <w:b/>
          <w:sz w:val="24"/>
          <w:lang w:val="en-US"/>
        </w:rPr>
      </w:r>
    </w:p>
    <w:p>
      <w:pPr>
        <w:pStyle w:val="Normal"/>
        <w:widowControl/>
        <w:numPr>
          <w:ilvl w:val="0"/>
          <w:numId w:val="7"/>
        </w:numPr>
        <w:jc w:val="both"/>
        <w:rPr>
          <w:sz w:val="24"/>
          <w:lang w:val="ru-RU"/>
        </w:rPr>
      </w:pPr>
      <w:r>
        <w:rPr>
          <w:sz w:val="24"/>
          <w:lang w:val="bg-BG"/>
        </w:rPr>
        <w:t>Наръчник на ИС;</w:t>
      </w:r>
    </w:p>
    <w:p>
      <w:pPr>
        <w:pStyle w:val="Normal"/>
        <w:widowControl/>
        <w:numPr>
          <w:ilvl w:val="0"/>
          <w:numId w:val="7"/>
        </w:numPr>
        <w:jc w:val="both"/>
        <w:rPr>
          <w:sz w:val="24"/>
          <w:lang w:val="bg-BG"/>
        </w:rPr>
      </w:pPr>
      <w:r>
        <w:rPr>
          <w:sz w:val="24"/>
          <w:lang w:val="ru-RU"/>
        </w:rPr>
        <w:t xml:space="preserve">Процедури; </w:t>
      </w:r>
    </w:p>
    <w:p>
      <w:pPr>
        <w:pStyle w:val="Normal"/>
        <w:widowControl/>
        <w:numPr>
          <w:ilvl w:val="0"/>
          <w:numId w:val="7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Работни инструкции;</w:t>
      </w:r>
    </w:p>
    <w:p>
      <w:pPr>
        <w:pStyle w:val="Normal"/>
        <w:widowControl/>
        <w:numPr>
          <w:ilvl w:val="0"/>
          <w:numId w:val="7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>О</w:t>
      </w:r>
      <w:r>
        <w:rPr>
          <w:sz w:val="24"/>
          <w:lang w:val="en-US"/>
        </w:rPr>
        <w:t>D</w:t>
      </w:r>
      <w:r>
        <w:rPr>
          <w:sz w:val="24"/>
          <w:lang w:val="bg-BG"/>
        </w:rPr>
        <w:t xml:space="preserve"> 07.05.00-1 „Списък на документирана информация”;</w:t>
      </w:r>
    </w:p>
    <w:p>
      <w:pPr>
        <w:pStyle w:val="Normal"/>
        <w:widowControl/>
        <w:numPr>
          <w:ilvl w:val="0"/>
          <w:numId w:val="7"/>
        </w:numPr>
        <w:jc w:val="both"/>
        <w:rPr>
          <w:sz w:val="24"/>
          <w:lang w:val="bg-BG"/>
        </w:rPr>
      </w:pPr>
      <w:r>
        <w:rPr>
          <w:sz w:val="24"/>
          <w:lang w:val="bg-BG"/>
        </w:rPr>
        <w:t xml:space="preserve">OD 07.05.00-2 „Списък на ползвателите”. 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1418" w:right="708" w:gutter="0" w:header="567" w:top="851" w:footer="567" w:bottom="851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031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7905"/>
      <w:gridCol w:w="1134"/>
      <w:gridCol w:w="992"/>
    </w:tblGrid>
    <w:tr>
      <w:trPr>
        <w:cantSplit/>
      </w:trPr>
      <w:tc>
        <w:tcPr>
          <w:tcW w:w="7905" w:type="dxa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b/>
              <w:lang w:val="en-US"/>
            </w:rPr>
            <w:t>PK</w:t>
          </w:r>
          <w:r>
            <w:rPr>
              <w:b/>
              <w:lang w:val="ru-RU"/>
            </w:rPr>
            <w:t xml:space="preserve"> 07</w:t>
          </w:r>
          <w:r>
            <w:rPr>
              <w:b/>
              <w:lang w:val="bg-BG"/>
            </w:rPr>
            <w:t>.05.00</w:t>
          </w:r>
        </w:p>
      </w:tc>
      <w:tc>
        <w:tcPr>
          <w:tcW w:w="1134" w:type="dxa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ru-RU"/>
            </w:rPr>
            <w:t>Версия</w:t>
          </w:r>
        </w:p>
      </w:tc>
      <w:tc>
        <w:tcPr>
          <w:tcW w:w="992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lang w:val="bg-BG"/>
            </w:rPr>
            <w:t>01</w:t>
          </w:r>
        </w:p>
      </w:tc>
    </w:tr>
    <w:tr>
      <w:trPr>
        <w:cantSplit/>
      </w:trPr>
      <w:tc>
        <w:tcPr>
          <w:tcW w:w="7905" w:type="dxa"/>
          <w:tcBorders>
            <w:top w:val="single" w:sz="6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widowControl/>
            <w:rPr>
              <w:lang w:val="en-US"/>
            </w:rPr>
          </w:pPr>
          <w:r>
            <w:rPr>
              <w:lang w:val="en-US"/>
            </w:rPr>
            <w:t>ISO</w:t>
          </w:r>
          <w:r>
            <w:rPr>
              <w:lang w:val="bg-BG"/>
            </w:rPr>
            <w:t xml:space="preserve"> 9001:</w:t>
          </w:r>
          <w:r>
            <w:rPr>
              <w:lang w:val="en-US"/>
            </w:rPr>
            <w:t>2015; ISO 14001:2015; ISO 45001:2018</w:t>
          </w:r>
        </w:p>
      </w:tc>
      <w:tc>
        <w:tcPr>
          <w:tcW w:w="1134" w:type="dxa"/>
          <w:tcBorders>
            <w:top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992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widowControl/>
            <w:jc w:val="center"/>
            <w:rPr/>
          </w:pP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7</w:t>
          </w:r>
          <w:r>
            <w:rPr>
              <w:rStyle w:val="PageNumber"/>
            </w:rPr>
            <w:fldChar w:fldCharType="end"/>
          </w:r>
          <w:r>
            <w:rPr>
              <w:lang w:val="bg-BG"/>
            </w:rPr>
            <w:t>/7</w:t>
          </w:r>
        </w:p>
      </w:tc>
    </w:tr>
    <w:tr>
      <w:trPr>
        <w:cantSplit/>
      </w:trPr>
      <w:tc>
        <w:tcPr>
          <w:tcW w:w="10031" w:type="dxa"/>
          <w:gridSpan w:val="3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widowControl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  <w:t>УПРАВЛЕНИЕ НА ДОКУМЕНТИРАНА ИНФОРМАЦИЯ</w:t>
          </w:r>
        </w:p>
      </w:tc>
    </w:tr>
  </w:tbl>
  <w:p>
    <w:pPr>
      <w:pStyle w:val="Header"/>
      <w:rPr>
        <w:lang w:val="ru-RU"/>
      </w:rPr>
    </w:pPr>
    <w:r>
      <w:rPr>
        <w:lang w:val="ru-RU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889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384"/>
      <w:gridCol w:w="1701"/>
      <w:gridCol w:w="4431"/>
      <w:gridCol w:w="1115"/>
      <w:gridCol w:w="1258"/>
    </w:tblGrid>
    <w:tr>
      <w:trPr>
        <w:cantSplit/>
      </w:trPr>
      <w:tc>
        <w:tcPr>
          <w:tcW w:w="3085" w:type="dxa"/>
          <w:gridSpan w:val="2"/>
          <w:vMerge w:val="restart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jc w:val="center"/>
            <w:rPr>
              <w:lang w:val="en-US"/>
            </w:rPr>
          </w:pPr>
          <w:r>
            <w:rPr>
              <w:b/>
              <w:sz w:val="24"/>
              <w:szCs w:val="24"/>
              <w:lang w:val="en-US"/>
            </w:rPr>
            <w:t>„</w:t>
          </w:r>
          <w:r>
            <w:rPr>
              <w:b/>
              <w:sz w:val="24"/>
              <w:szCs w:val="24"/>
              <w:lang w:val="bg-BG"/>
            </w:rPr>
            <w:t>Витоша газ</w:t>
          </w:r>
          <w:r>
            <w:rPr>
              <w:b/>
              <w:sz w:val="24"/>
              <w:szCs w:val="24"/>
              <w:lang w:val="en-US"/>
            </w:rPr>
            <w:t xml:space="preserve">“  </w:t>
          </w:r>
          <w:r>
            <w:rPr>
              <w:b/>
              <w:sz w:val="24"/>
              <w:szCs w:val="24"/>
              <w:lang w:val="bg-BG"/>
            </w:rPr>
            <w:t>Е</w:t>
          </w:r>
          <w:r>
            <w:rPr>
              <w:b/>
              <w:sz w:val="24"/>
              <w:szCs w:val="24"/>
              <w:lang w:val="en-US"/>
            </w:rPr>
            <w:t>ООД</w:t>
          </w:r>
        </w:p>
      </w:tc>
      <w:tc>
        <w:tcPr>
          <w:tcW w:w="4431" w:type="dxa"/>
          <w:tcBorders>
            <w:top w:val="single" w:sz="12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b/>
              <w:lang w:val="en-US"/>
            </w:rPr>
            <w:t>IP 0</w:t>
          </w:r>
          <w:r>
            <w:rPr>
              <w:b/>
              <w:lang w:val="bg-BG"/>
            </w:rPr>
            <w:t>7</w:t>
          </w:r>
          <w:r>
            <w:rPr>
              <w:b/>
              <w:lang w:val="en-US"/>
            </w:rPr>
            <w:t>.0</w:t>
          </w:r>
          <w:r>
            <w:rPr>
              <w:b/>
              <w:lang w:val="bg-BG"/>
            </w:rPr>
            <w:t>5</w:t>
          </w:r>
          <w:r>
            <w:rPr>
              <w:b/>
              <w:lang w:val="en-US"/>
            </w:rPr>
            <w:t>.0</w:t>
          </w:r>
          <w:r>
            <w:rPr>
              <w:b/>
              <w:lang w:val="bg-BG"/>
            </w:rPr>
            <w:t>0</w:t>
          </w:r>
        </w:p>
      </w:tc>
      <w:tc>
        <w:tcPr>
          <w:tcW w:w="1115" w:type="dxa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en-US"/>
            </w:rPr>
            <w:t>Версия</w:t>
          </w:r>
        </w:p>
      </w:tc>
      <w:tc>
        <w:tcPr>
          <w:tcW w:w="1258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lang w:val="bg-BG"/>
            </w:rPr>
            <w:t>01</w:t>
          </w:r>
        </w:p>
      </w:tc>
    </w:tr>
    <w:tr>
      <w:trPr>
        <w:cantSplit/>
      </w:trPr>
      <w:tc>
        <w:tcPr>
          <w:tcW w:w="3085" w:type="dxa"/>
          <w:gridSpan w:val="2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lang w:val="en-US"/>
            </w:rPr>
          </w:pPr>
          <w:r>
            <w:rPr>
              <w:lang w:val="en-US"/>
            </w:rPr>
          </w:r>
        </w:p>
      </w:tc>
      <w:tc>
        <w:tcPr>
          <w:tcW w:w="4431" w:type="dxa"/>
          <w:tcBorders>
            <w:top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widowControl/>
            <w:rPr>
              <w:lang w:val="en-US"/>
            </w:rPr>
          </w:pPr>
          <w:r>
            <w:rPr>
              <w:lang w:val="en-US"/>
            </w:rPr>
            <w:t>ISO</w:t>
          </w:r>
          <w:r>
            <w:rPr>
              <w:lang w:val="bg-BG"/>
            </w:rPr>
            <w:t xml:space="preserve"> 9001:</w:t>
          </w:r>
          <w:r>
            <w:rPr>
              <w:lang w:val="en-US"/>
            </w:rPr>
            <w:t>2015; ISO 14001:2015; ISO 45001:2018</w:t>
          </w:r>
        </w:p>
      </w:tc>
      <w:tc>
        <w:tcPr>
          <w:tcW w:w="1115" w:type="dxa"/>
          <w:tcBorders>
            <w:top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1258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lang w:val="bg-BG"/>
            </w:rPr>
            <w:t>1/7</w:t>
          </w:r>
        </w:p>
      </w:tc>
    </w:tr>
    <w:tr>
      <w:trPr>
        <w:cantSplit/>
      </w:trPr>
      <w:tc>
        <w:tcPr>
          <w:tcW w:w="3085" w:type="dxa"/>
          <w:gridSpan w:val="2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4431" w:type="dxa"/>
          <w:tcBorders>
            <w:top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b/>
              <w:lang w:val="bg-BG"/>
            </w:rPr>
            <w:t>УПРАВЛЕНИЕ НА ДОКУМЕНТИРАНА ИНФОРМАЦИЯ</w:t>
          </w:r>
        </w:p>
      </w:tc>
      <w:tc>
        <w:tcPr>
          <w:tcW w:w="1115" w:type="dxa"/>
          <w:tcBorders>
            <w:top w:val="single" w:sz="12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Header"/>
            <w:widowControl/>
            <w:snapToGrid w:val="false"/>
            <w:rPr>
              <w:lang w:val="bg-BG"/>
            </w:rPr>
          </w:pPr>
          <w:r>
            <w:rPr>
              <w:lang w:val="bg-BG"/>
            </w:rPr>
          </w:r>
        </w:p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</w:r>
        </w:p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  <w:t>Подпис:</w:t>
          </w:r>
        </w:p>
      </w:tc>
      <w:tc>
        <w:tcPr>
          <w:tcW w:w="1258" w:type="dxa"/>
          <w:tcBorders>
            <w:top w:val="single" w:sz="12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widowControl/>
            <w:snapToGrid w:val="false"/>
            <w:rPr>
              <w:lang w:val="bg-BG"/>
            </w:rPr>
          </w:pPr>
          <w:r>
            <w:rPr>
              <w:lang w:val="bg-BG"/>
            </w:rPr>
          </w:r>
        </w:p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</w:r>
        </w:p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  <w:t>Дата:</w:t>
          </w:r>
        </w:p>
      </w:tc>
    </w:tr>
    <w:tr>
      <w:trPr>
        <w:cantSplit/>
      </w:trPr>
      <w:tc>
        <w:tcPr>
          <w:tcW w:w="1384" w:type="dxa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  <w:t>Разработил:</w:t>
          </w:r>
        </w:p>
      </w:tc>
      <w:tc>
        <w:tcPr>
          <w:tcW w:w="6132" w:type="dxa"/>
          <w:gridSpan w:val="2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  <w:t>Мениджър по качеството</w:t>
          </w:r>
        </w:p>
      </w:tc>
      <w:tc>
        <w:tcPr>
          <w:tcW w:w="1115" w:type="dxa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widowControl/>
            <w:snapToGrid w:val="false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1258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widowControl/>
            <w:rPr>
              <w:lang w:val="en-US"/>
            </w:rPr>
          </w:pPr>
          <w:r>
            <w:rPr/>
            <w:t>0</w:t>
          </w:r>
          <w:r>
            <w:rPr>
              <w:lang w:val="bg-BG"/>
            </w:rPr>
            <w:t>7.</w:t>
          </w:r>
          <w:r>
            <w:rPr>
              <w:lang w:val="en-US"/>
            </w:rPr>
            <w:t>11</w:t>
          </w:r>
          <w:r>
            <w:rPr>
              <w:lang w:val="bg-BG"/>
            </w:rPr>
            <w:t>.201</w:t>
          </w:r>
          <w:r>
            <w:rPr>
              <w:lang w:val="en-US"/>
            </w:rPr>
            <w:t>9</w:t>
          </w:r>
        </w:p>
      </w:tc>
    </w:tr>
    <w:tr>
      <w:trPr>
        <w:cantSplit/>
      </w:trPr>
      <w:tc>
        <w:tcPr>
          <w:tcW w:w="1384" w:type="dxa"/>
          <w:tcBorders>
            <w:top w:val="single" w:sz="6" w:space="0" w:color="000000"/>
            <w:start w:val="single" w:sz="12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Header"/>
            <w:widowControl/>
            <w:rPr/>
          </w:pPr>
          <w:r>
            <w:rPr>
              <w:lang w:val="en-US"/>
            </w:rPr>
            <w:t>Утвърдил</w:t>
          </w:r>
          <w:r>
            <w:rPr>
              <w:lang w:val="bg-BG"/>
            </w:rPr>
            <w:t>:</w:t>
          </w:r>
        </w:p>
      </w:tc>
      <w:tc>
        <w:tcPr>
          <w:tcW w:w="6132" w:type="dxa"/>
          <w:gridSpan w:val="2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  <w:t>Управител</w:t>
          </w:r>
        </w:p>
      </w:tc>
      <w:tc>
        <w:tcPr>
          <w:tcW w:w="1115" w:type="dxa"/>
          <w:tcBorders>
            <w:top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Header"/>
            <w:widowControl/>
            <w:snapToGrid w:val="false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1258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/>
            <w:t>0</w:t>
          </w:r>
          <w:r>
            <w:rPr>
              <w:lang w:val="bg-BG"/>
            </w:rPr>
            <w:t>7.</w:t>
          </w:r>
          <w:r>
            <w:rPr>
              <w:lang w:val="en-US"/>
            </w:rPr>
            <w:t>11</w:t>
          </w:r>
          <w:r>
            <w:rPr>
              <w:lang w:val="bg-BG"/>
            </w:rPr>
            <w:t>.201</w:t>
          </w:r>
          <w:r>
            <w:rPr>
              <w:lang w:val="en-US"/>
            </w:rPr>
            <w:t>9</w:t>
          </w:r>
        </w:p>
      </w:tc>
    </w:tr>
  </w:tbl>
  <w:p>
    <w:pPr>
      <w:pStyle w:val="Header"/>
      <w:rPr>
        <w:lang w:val="en-US"/>
      </w:rPr>
    </w:pPr>
    <w:r>
      <w:rPr>
        <w:lang w:val="en-US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360"/>
        </w:tabs>
        <w:ind w:start="340" w:hanging="34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360"/>
        </w:tabs>
        <w:ind w:start="340" w:hanging="34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360"/>
        </w:tabs>
        <w:ind w:start="340" w:hanging="34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360"/>
        </w:tabs>
        <w:ind w:start="0" w:hanging="0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360"/>
        </w:tabs>
        <w:ind w:start="0" w:hanging="0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360"/>
        </w:tabs>
        <w:ind w:start="0" w:hanging="0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360"/>
        </w:tabs>
        <w:ind w:start="0" w:hanging="0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360"/>
        </w:tabs>
        <w:ind w:start="340" w:hanging="340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360"/>
        </w:tabs>
        <w:ind w:start="340" w:hanging="340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abstractNum w:abstractNumId="12">
    <w:lvl w:ilvl="0"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GB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widowControl/>
      <w:numPr>
        <w:ilvl w:val="0"/>
        <w:numId w:val="1"/>
      </w:numPr>
      <w:outlineLvl w:val="0"/>
    </w:pPr>
    <w:rPr>
      <w:rFonts w:ascii="Arial" w:hAnsi="Arial" w:cs="Arial"/>
      <w:b/>
      <w:lang w:val="bg-BG"/>
    </w:rPr>
  </w:style>
  <w:style w:type="paragraph" w:styleId="Heading2">
    <w:name w:val="heading 2"/>
    <w:basedOn w:val="Normal"/>
    <w:next w:val="Normal"/>
    <w:qFormat/>
    <w:pPr>
      <w:keepNext w:val="true"/>
      <w:widowControl/>
      <w:numPr>
        <w:ilvl w:val="1"/>
        <w:numId w:val="1"/>
      </w:numPr>
      <w:jc w:val="both"/>
      <w:outlineLvl w:val="1"/>
    </w:pPr>
    <w:rPr>
      <w:bCs/>
      <w:i/>
      <w:sz w:val="24"/>
      <w:lang w:val="bg-BG"/>
    </w:rPr>
  </w:style>
  <w:style w:type="character" w:styleId="WW8Num2z0">
    <w:name w:val="WW8Num2z0"/>
    <w:qFormat/>
    <w:rPr>
      <w:rFonts w:ascii="Symbol" w:hAnsi="Symbol" w:cs="Symbol"/>
      <w:spacing w:val="0"/>
      <w:kern w:val="2"/>
      <w:position w:val="0"/>
      <w:sz w:val="24"/>
      <w:vertAlign w:val="baseline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0">
    <w:name w:val="WW8Num7z0"/>
    <w:qFormat/>
    <w:rPr>
      <w:rFonts w:ascii="Symbol" w:hAnsi="Symbol" w:cs="Symbol"/>
      <w:spacing w:val="0"/>
      <w:kern w:val="2"/>
      <w:position w:val="0"/>
      <w:sz w:val="24"/>
      <w:vertAlign w:val="baseline"/>
    </w:rPr>
  </w:style>
  <w:style w:type="character" w:styleId="WW8Num8z0">
    <w:name w:val="WW8Num8z0"/>
    <w:qFormat/>
    <w:rPr>
      <w:rFonts w:ascii="Symbol" w:hAnsi="Symbol" w:cs="Symbol"/>
      <w:spacing w:val="0"/>
      <w:kern w:val="2"/>
      <w:position w:val="0"/>
      <w:sz w:val="24"/>
      <w:vertAlign w:val="baseline"/>
    </w:rPr>
  </w:style>
  <w:style w:type="character" w:styleId="WW8Num9z0">
    <w:name w:val="WW8Num9z0"/>
    <w:qFormat/>
    <w:rPr>
      <w:rFonts w:ascii="Symbol" w:hAnsi="Symbol" w:cs="Symbol"/>
      <w:spacing w:val="0"/>
      <w:kern w:val="2"/>
      <w:position w:val="0"/>
      <w:sz w:val="24"/>
      <w:vertAlign w:val="baseline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1z0">
    <w:name w:val="WW8Num11z0"/>
    <w:qFormat/>
    <w:rPr>
      <w:rFonts w:ascii="Symbol" w:hAnsi="Symbol" w:cs="Symbol"/>
    </w:rPr>
  </w:style>
  <w:style w:type="character" w:styleId="WW8Num12z0">
    <w:name w:val="WW8Num12z0"/>
    <w:qFormat/>
    <w:rPr>
      <w:rFonts w:ascii="Symbol" w:hAnsi="Symbol" w:cs="Symbol"/>
    </w:rPr>
  </w:style>
  <w:style w:type="character" w:styleId="WW8Num13z0">
    <w:name w:val="WW8Num13z0"/>
    <w:qFormat/>
    <w:rPr>
      <w:rFonts w:ascii="Symbol" w:hAnsi="Symbol" w:cs="Symbol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4z0">
    <w:name w:val="WW8Num14z0"/>
    <w:qFormat/>
    <w:rPr>
      <w:rFonts w:ascii="Symbol" w:hAnsi="Symbol" w:cs="Symbol"/>
    </w:rPr>
  </w:style>
  <w:style w:type="character" w:styleId="WW8Num15z0">
    <w:name w:val="WW8Num15z0"/>
    <w:qFormat/>
    <w:rPr>
      <w:rFonts w:ascii="Symbol" w:hAnsi="Symbol" w:cs="Symbol"/>
    </w:rPr>
  </w:style>
  <w:style w:type="character" w:styleId="WW8Num16z0">
    <w:name w:val="WW8Num16z0"/>
    <w:qFormat/>
    <w:rPr>
      <w:rFonts w:ascii="Symbol" w:hAnsi="Symbol" w:cs="Symbol"/>
    </w:rPr>
  </w:style>
  <w:style w:type="character" w:styleId="WW8Num17z0">
    <w:name w:val="WW8Num17z0"/>
    <w:qFormat/>
    <w:rPr>
      <w:rFonts w:ascii="Symbol" w:hAnsi="Symbol" w:cs="Symbol"/>
    </w:rPr>
  </w:style>
  <w:style w:type="character" w:styleId="WW8Num18z0">
    <w:name w:val="WW8Num18z0"/>
    <w:qFormat/>
    <w:rPr>
      <w:rFonts w:ascii="Symbol" w:hAnsi="Symbol" w:cs="Symbol"/>
    </w:rPr>
  </w:style>
  <w:style w:type="character" w:styleId="WW8Num18z1">
    <w:name w:val="WW8Num18z1"/>
    <w:qFormat/>
    <w:rPr>
      <w:rFonts w:ascii="Times New Roman" w:hAnsi="Times New Roman" w:eastAsia="Times New Roman" w:cs="Times New Roman"/>
    </w:rPr>
  </w:style>
  <w:style w:type="character" w:styleId="WW8Num18z2">
    <w:name w:val="WW8Num18z2"/>
    <w:qFormat/>
    <w:rPr>
      <w:rFonts w:ascii="Wingdings" w:hAnsi="Wingdings" w:cs="Wingdings"/>
    </w:rPr>
  </w:style>
  <w:style w:type="character" w:styleId="WW8Num18z4">
    <w:name w:val="WW8Num18z4"/>
    <w:qFormat/>
    <w:rPr>
      <w:rFonts w:ascii="Courier New" w:hAnsi="Courier New" w:cs="Courier New"/>
    </w:rPr>
  </w:style>
  <w:style w:type="character" w:styleId="WW8Num19z0">
    <w:name w:val="WW8Num19z0"/>
    <w:qFormat/>
    <w:rPr>
      <w:rFonts w:ascii="Symbol" w:hAnsi="Symbol" w:cs="Symbol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2">
    <w:name w:val="WW8Num19z2"/>
    <w:qFormat/>
    <w:rPr>
      <w:rFonts w:ascii="Wingdings" w:hAnsi="Wingdings" w:cs="Wingdings"/>
    </w:rPr>
  </w:style>
  <w:style w:type="character" w:styleId="WW8Num20z0">
    <w:name w:val="WW8Num20z0"/>
    <w:qFormat/>
    <w:rPr>
      <w:rFonts w:ascii="Symbol" w:hAnsi="Symbol" w:cs="Symbol"/>
      <w:spacing w:val="0"/>
      <w:kern w:val="2"/>
      <w:position w:val="0"/>
      <w:sz w:val="24"/>
      <w:vertAlign w:val="baseline"/>
    </w:rPr>
  </w:style>
  <w:style w:type="character" w:styleId="WW8Num21z0">
    <w:name w:val="WW8Num21z0"/>
    <w:qFormat/>
    <w:rPr>
      <w:rFonts w:ascii="Symbol" w:hAnsi="Symbol" w:cs="Symbol"/>
      <w:spacing w:val="0"/>
      <w:kern w:val="2"/>
      <w:position w:val="0"/>
      <w:sz w:val="24"/>
      <w:vertAlign w:val="baseline"/>
    </w:rPr>
  </w:style>
  <w:style w:type="character" w:styleId="WW8Num22z0">
    <w:name w:val="WW8Num22z0"/>
    <w:qFormat/>
    <w:rPr>
      <w:rFonts w:ascii="Symbol" w:hAnsi="Symbol" w:cs="Symbol"/>
    </w:rPr>
  </w:style>
  <w:style w:type="character" w:styleId="WW8Num22z1">
    <w:name w:val="WW8Num22z1"/>
    <w:qFormat/>
    <w:rPr>
      <w:rFonts w:ascii="Courier New" w:hAnsi="Courier New" w:cs="Courier New"/>
    </w:rPr>
  </w:style>
  <w:style w:type="character" w:styleId="WW8Num22z2">
    <w:name w:val="WW8Num22z2"/>
    <w:qFormat/>
    <w:rPr>
      <w:rFonts w:ascii="Wingdings" w:hAnsi="Wingdings" w:cs="Wingdings"/>
    </w:rPr>
  </w:style>
  <w:style w:type="character" w:styleId="WW8Num23z0">
    <w:name w:val="WW8Num23z0"/>
    <w:qFormat/>
    <w:rPr>
      <w:rFonts w:ascii="Symbol" w:hAnsi="Symbol" w:cs="Symbol"/>
      <w:spacing w:val="0"/>
      <w:kern w:val="2"/>
      <w:position w:val="0"/>
      <w:sz w:val="24"/>
      <w:vertAlign w:val="baseline"/>
    </w:rPr>
  </w:style>
  <w:style w:type="character" w:styleId="WW8Num24z0">
    <w:name w:val="WW8Num24z0"/>
    <w:qFormat/>
    <w:rPr>
      <w:rFonts w:ascii="Symbol" w:hAnsi="Symbol" w:cs="Symbol"/>
    </w:rPr>
  </w:style>
  <w:style w:type="character" w:styleId="WW8Num25z0">
    <w:name w:val="WW8Num25z0"/>
    <w:qFormat/>
    <w:rPr>
      <w:rFonts w:ascii="Symbol" w:hAnsi="Symbol" w:cs="Symbol"/>
    </w:rPr>
  </w:style>
  <w:style w:type="character" w:styleId="WW8Num25z1">
    <w:name w:val="WW8Num25z1"/>
    <w:qFormat/>
    <w:rPr>
      <w:rFonts w:ascii="Courier New" w:hAnsi="Courier New" w:cs="Courier New"/>
    </w:rPr>
  </w:style>
  <w:style w:type="character" w:styleId="WW8Num25z2">
    <w:name w:val="WW8Num25z2"/>
    <w:qFormat/>
    <w:rPr>
      <w:rFonts w:ascii="Wingdings" w:hAnsi="Wingdings" w:cs="Wingdings"/>
    </w:rPr>
  </w:style>
  <w:style w:type="character" w:styleId="WW8Num26z0">
    <w:name w:val="WW8Num26z0"/>
    <w:qFormat/>
    <w:rPr>
      <w:rFonts w:ascii="Symbol" w:hAnsi="Symbol" w:cs="Symbol"/>
    </w:rPr>
  </w:style>
  <w:style w:type="character" w:styleId="WW8Num26z1">
    <w:name w:val="WW8Num26z1"/>
    <w:qFormat/>
    <w:rPr>
      <w:rFonts w:ascii="Courier New" w:hAnsi="Courier New" w:cs="Courier New"/>
    </w:rPr>
  </w:style>
  <w:style w:type="character" w:styleId="WW8Num26z2">
    <w:name w:val="WW8Num26z2"/>
    <w:qFormat/>
    <w:rPr>
      <w:rFonts w:ascii="Wingdings" w:hAnsi="Wingdings" w:cs="Wingdings"/>
    </w:rPr>
  </w:style>
  <w:style w:type="character" w:styleId="WW8Num27z0">
    <w:name w:val="WW8Num27z0"/>
    <w:qFormat/>
    <w:rPr>
      <w:rFonts w:ascii="Symbol" w:hAnsi="Symbol" w:cs="Symbol"/>
    </w:rPr>
  </w:style>
  <w:style w:type="character" w:styleId="WW8Num28z0">
    <w:name w:val="WW8Num28z0"/>
    <w:qFormat/>
    <w:rPr>
      <w:rFonts w:ascii="Symbol" w:hAnsi="Symbol" w:cs="Symbol"/>
    </w:rPr>
  </w:style>
  <w:style w:type="character" w:styleId="WW8Num29z0">
    <w:name w:val="WW8Num29z0"/>
    <w:qFormat/>
    <w:rPr>
      <w:rFonts w:ascii="Symbol" w:hAnsi="Symbol" w:cs="Symbol"/>
      <w:spacing w:val="0"/>
      <w:kern w:val="2"/>
      <w:position w:val="0"/>
      <w:sz w:val="24"/>
      <w:vertAlign w:val="baseline"/>
    </w:rPr>
  </w:style>
  <w:style w:type="character" w:styleId="WW8Num30z0">
    <w:name w:val="WW8Num30z0"/>
    <w:qFormat/>
    <w:rPr>
      <w:rFonts w:ascii="Symbol" w:hAnsi="Symbol" w:cs="Symbol"/>
    </w:rPr>
  </w:style>
  <w:style w:type="character" w:styleId="WW8Num31z0">
    <w:name w:val="WW8Num31z0"/>
    <w:qFormat/>
    <w:rPr>
      <w:rFonts w:ascii="Symbol" w:hAnsi="Symbol" w:cs="Symbol"/>
    </w:rPr>
  </w:style>
  <w:style w:type="character" w:styleId="WW8Num32z0">
    <w:name w:val="WW8Num32z0"/>
    <w:qFormat/>
    <w:rPr>
      <w:rFonts w:ascii="Symbol" w:hAnsi="Symbol" w:cs="Symbol"/>
    </w:rPr>
  </w:style>
  <w:style w:type="character" w:styleId="WW8Num33z0">
    <w:name w:val="WW8Num33z0"/>
    <w:qFormat/>
    <w:rPr>
      <w:rFonts w:ascii="Symbol" w:hAnsi="Symbol" w:cs="Symbol"/>
    </w:rPr>
  </w:style>
  <w:style w:type="character" w:styleId="WW8NumSt1z0">
    <w:name w:val="WW8NumSt1z0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PageNumber">
    <w:name w:val="page number"/>
    <w:rPr>
      <w:sz w:val="20"/>
    </w:rPr>
  </w:style>
  <w:style w:type="character" w:styleId="CommentReference">
    <w:name w:val="Comment Reference"/>
    <w:qFormat/>
    <w:rPr>
      <w:sz w:val="16"/>
    </w:rPr>
  </w:style>
  <w:style w:type="paragraph" w:styleId="Style12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widowControl/>
      <w:jc w:val="both"/>
    </w:pPr>
    <w:rPr>
      <w:sz w:val="24"/>
      <w:lang w:val="bg-BG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Указател"/>
    <w:basedOn w:val="Normal"/>
    <w:qFormat/>
    <w:pPr>
      <w:suppressLineNumbers/>
    </w:pPr>
    <w:rPr>
      <w:rFonts w:cs="Arial"/>
    </w:rPr>
  </w:style>
  <w:style w:type="paragraph" w:styleId="Style14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CommentText">
    <w:name w:val="Comment Text"/>
    <w:basedOn w:val="Normal"/>
    <w:qFormat/>
    <w:pPr/>
    <w:rPr/>
  </w:style>
  <w:style w:type="paragraph" w:styleId="DocumentMap">
    <w:name w:val="Document Map"/>
    <w:basedOn w:val="Normal"/>
    <w:qFormat/>
    <w:pPr>
      <w:shd w:fill="000080" w:val="clear"/>
    </w:pPr>
    <w:rPr>
      <w:rFonts w:ascii="Tahoma" w:hAnsi="Tahoma" w:cs="Tahoma"/>
    </w:rPr>
  </w:style>
  <w:style w:type="paragraph" w:styleId="-">
    <w:name w:val="Рамка - съдържание"/>
    <w:basedOn w:val="Normal"/>
    <w:qFormat/>
    <w:pPr/>
    <w:rPr/>
  </w:style>
  <w:style w:type="paragraph" w:styleId="-1">
    <w:name w:val="Таблица - съдържание"/>
    <w:basedOn w:val="Normal"/>
    <w:qFormat/>
    <w:pPr>
      <w:widowControl w:val="false"/>
      <w:suppressLineNumbers/>
    </w:pPr>
    <w:rPr/>
  </w:style>
  <w:style w:type="paragraph" w:styleId="-2">
    <w:name w:val="Таблица - заглавие"/>
    <w:basedOn w:val="-1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2016-05-15T12:18:00Z</dcterms:created>
  <dc:creator>МТ</dc:creator>
  <dc:description/>
  <cp:keywords/>
  <dc:language>bg-BG</dc:language>
  <cp:lastModifiedBy>Julia</cp:lastModifiedBy>
  <cp:lastPrinted>2006-06-09T13:55:00Z</cp:lastPrinted>
  <dcterms:modified xsi:type="dcterms:W3CDTF">2019-11-06T20:24:00Z</dcterms:modified>
  <cp:revision>20</cp:revision>
  <dc:subject>ПК</dc:subject>
  <dc:title>Управление на документите</dc:title>
</cp:coreProperties>
</file>