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  </w:t>
      </w:r>
    </w:p>
    <w:p>
      <w:pPr>
        <w:pStyle w:val="Normal"/>
        <w:widowControl/>
        <w:numPr>
          <w:ilvl w:val="0"/>
          <w:numId w:val="10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Тази процедура определя начина на изпълнение на процес „Управление на доставките“, посредством който фирмата осигурява използването на  висококачествени материали и услуги от подбрани доставчици, което е гаранция за висококачествени продукти и услуги.</w:t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10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i w:val="false"/>
          <w:sz w:val="24"/>
          <w:lang w:val="en-US"/>
        </w:rPr>
      </w:pPr>
      <w:r>
        <w:rPr>
          <w:b/>
          <w:i w:val="false"/>
          <w:sz w:val="24"/>
          <w:lang w:val="en-US"/>
        </w:rPr>
      </w:r>
    </w:p>
    <w:p>
      <w:pPr>
        <w:pStyle w:val="BodyText"/>
        <w:tabs>
          <w:tab w:val="clear" w:pos="720"/>
          <w:tab w:val="left" w:pos="1843" w:leader="none"/>
        </w:tabs>
        <w:rPr>
          <w:i w:val="false"/>
          <w:sz w:val="24"/>
        </w:rPr>
      </w:pPr>
      <w:r>
        <w:rPr>
          <w:i w:val="false"/>
          <w:sz w:val="24"/>
        </w:rPr>
        <w:t>За реализирането на процеса е необходимо да бъдат извършени следните дейности:</w:t>
      </w:r>
    </w:p>
    <w:p>
      <w:pPr>
        <w:pStyle w:val="BodyText"/>
        <w:rPr>
          <w:b/>
          <w:i w:val="false"/>
          <w:sz w:val="24"/>
        </w:rPr>
      </w:pPr>
      <w:r>
        <w:rPr>
          <w:b/>
          <w:i w:val="false"/>
          <w:sz w:val="24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42545</wp:posOffset>
                </wp:positionV>
                <wp:extent cx="1816735" cy="1269365"/>
                <wp:effectExtent l="10160" t="10160" r="88265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560" cy="1269360"/>
                        </a:xfrm>
                        <a:custGeom>
                          <a:avLst/>
                          <a:gdLst>
                            <a:gd name="textAreaLeft" fmla="*/ 0 w 1029960"/>
                            <a:gd name="textAreaRight" fmla="*/ 1030320 w 1029960"/>
                            <a:gd name="textAreaTop" fmla="*/ 0 h 719640"/>
                            <a:gd name="textAreaBottom" fmla="*/ 720000 h 719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 Информация от: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маркетингови проучвания;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производствената програма;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складови наличности</w:t>
                            </w:r>
                          </w:p>
                        </w:txbxContent>
                      </wps:txbx>
                      <wps:bodyPr lIns="17640" tIns="10800" rIns="17640" bIns="1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3.35pt;width:143pt;height:99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 Информация от: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маркетингови проучвания;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производствената програма;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складови наличности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168910</wp:posOffset>
                </wp:positionV>
                <wp:extent cx="1727200" cy="1162050"/>
                <wp:effectExtent l="9525" t="9525" r="8890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16208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658800"/>
                            <a:gd name="textAreaBottom" fmla="*/ 659160 h 658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eastAsia="NSimSun" w:ascii="Liberation Serif" w:hAnsi="Liberation Serif" w:cs="Arial"/>
                                <w:kern w:val="2"/>
                                <w:sz w:val="24"/>
                                <w:szCs w:val="24"/>
                                <w:lang w:val="bg-BG"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материали за работа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7.6pt;margin-top:13.3pt;width:135.95pt;height:91.4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eastAsia="NSimSun" w:ascii="Liberation Serif" w:hAnsi="Liberation Serif" w:cs="Arial"/>
                          <w:kern w:val="2"/>
                          <w:sz w:val="24"/>
                          <w:szCs w:val="24"/>
                          <w:lang w:val="bg-BG"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материали за работа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165735</wp:posOffset>
                </wp:positionV>
                <wp:extent cx="2317750" cy="108585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16205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и избор на доставчици;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изготвяне на документи за закупуване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bg-BG"/>
                              </w:rPr>
                              <w:t>и отчетност;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4"/>
                              </w:numPr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закупуване и проверка на закупен продукт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91.5pt;mso-wrap-distance-left:9.05pt;mso-wrap-distance-right:9.05pt;mso-wrap-distance-top:0pt;mso-wrap-distance-bottom:0pt;margin-top:13.05pt;mso-position-vertical-relative:text;margin-left:152pt;mso-position-horizontal-relative:text">
                <v:shadow on="t" color="#808080" offset="6pt,6pt"/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оценяване и избор на доставчици;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изготвяне на документи за закупуване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bg-BG"/>
                        </w:rPr>
                        <w:t>и отчетност;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4"/>
                        </w:numPr>
                        <w:rPr/>
                      </w:pPr>
                      <w:r>
                        <w:rPr>
                          <w:lang w:val="bg-BG"/>
                        </w:rPr>
                        <w:t>закупуване и проверка на закупен продукт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ind w:start="1080" w:end="0"/>
        <w:jc w:val="both"/>
        <w:rPr>
          <w:rFonts w:ascii="ExcelciorCyr;Times New Roman" w:hAnsi="ExcelciorCyr;Times New Roman" w:cs="Arial"/>
          <w:b/>
          <w:sz w:val="24"/>
          <w:highlight w:val="yellow"/>
          <w:lang w:val="bg-BG"/>
        </w:rPr>
      </w:pPr>
      <w:r>
        <w:rPr>
          <w:rFonts w:cs="Arial" w:ascii="ExcelciorCyr;Times New Roman" w:hAnsi="ExcelciorCyr;Times New Roman"/>
          <w:b/>
          <w:sz w:val="24"/>
          <w:highlight w:val="yellow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3.ОТГОВОРНОСТИ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Отговорности за изпълнение на процеса носи отговорният за доставките служител, който: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определя количествата и изискванията, предявявани към необходимите материали;  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планира, организира и контролира своевременното изпълнение на доставките;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отговаря за приемането и предаването на материалите; 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оценка, подбор на доставчиците и заявяване на материалите;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отговаря за планиране на разходите за доставка на материалите;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координира дейностите по рекламациите към доставчиците; 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360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контрол върху складовите наличности.</w:t>
      </w:r>
      <w:r>
        <w:rPr>
          <w:lang w:val="bg-BG"/>
        </w:rPr>
        <w:tab/>
      </w:r>
    </w:p>
    <w:p>
      <w:pPr>
        <w:pStyle w:val="Normal"/>
        <w:widowControl/>
        <w:jc w:val="both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i w:val="false"/>
          <w:sz w:val="24"/>
          <w:lang w:val="bg-BG"/>
        </w:rPr>
      </w:pPr>
      <w:r>
        <w:rPr>
          <w:b/>
          <w:i w:val="false"/>
          <w:sz w:val="24"/>
          <w:lang w:val="bg-BG"/>
        </w:rPr>
      </w:r>
    </w:p>
    <w:p>
      <w:pPr>
        <w:pStyle w:val="BodyText"/>
        <w:rPr/>
      </w:pPr>
      <w:r>
        <w:rPr>
          <w:i w:val="false"/>
          <w:sz w:val="24"/>
        </w:rPr>
        <w:t>Потребители на процес „Управление на доставките“ са процеси: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контрол на съответствието;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производствена и складова дейност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11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управление на несъответствия. 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i w:val="false"/>
          <w:sz w:val="24"/>
        </w:rPr>
      </w:pPr>
      <w:r>
        <w:rPr>
          <w:i w:val="false"/>
          <w:sz w:val="24"/>
        </w:rPr>
        <w:t>За ефективното и ефикасно протичане на процеса се съди по: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ритмичността на доставките;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ритмичността на производствените дейности;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качеството на продуктите и услугите;</w:t>
      </w:r>
    </w:p>
    <w:p>
      <w:pPr>
        <w:pStyle w:val="Normal"/>
        <w:widowControl/>
        <w:numPr>
          <w:ilvl w:val="0"/>
          <w:numId w:val="1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 за удовлетворяване на изискванията на клиентите.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Доставчик</w:t>
      </w:r>
      <w:r>
        <w:rPr>
          <w:sz w:val="24"/>
          <w:lang w:val="bg-BG"/>
        </w:rPr>
        <w:t xml:space="preserve"> – организация или лице, което доставя продукт - осигурява материали, продукти или услуги.</w:t>
      </w:r>
    </w:p>
    <w:p>
      <w:pPr>
        <w:pStyle w:val="Normal"/>
        <w:widowControl/>
        <w:numPr>
          <w:ilvl w:val="0"/>
          <w:numId w:val="4"/>
        </w:numPr>
        <w:jc w:val="both"/>
        <w:rPr>
          <w:bCs/>
          <w:sz w:val="24"/>
          <w:lang w:val="bg-BG"/>
        </w:rPr>
      </w:pPr>
      <w:r>
        <w:rPr>
          <w:b/>
          <w:sz w:val="24"/>
          <w:lang w:val="bg-BG"/>
        </w:rPr>
        <w:t xml:space="preserve">Договор </w:t>
      </w:r>
      <w:r>
        <w:rPr>
          <w:bCs/>
          <w:sz w:val="24"/>
          <w:lang w:val="bg-BG"/>
        </w:rPr>
        <w:t xml:space="preserve">– споразумение между доставчик и потребител за закупуване, преработка или изработка. 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Изискване</w:t>
      </w:r>
      <w:r>
        <w:rPr>
          <w:sz w:val="24"/>
          <w:lang w:val="bg-BG"/>
        </w:rPr>
        <w:t xml:space="preserve"> - потребност или очакване, което е обявено, обичайно подразбиращо се или задължително.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Оферта – </w:t>
      </w:r>
      <w:r>
        <w:rPr>
          <w:sz w:val="24"/>
          <w:szCs w:val="24"/>
          <w:lang w:val="bg-BG"/>
        </w:rPr>
        <w:t>предложение, направено от доставчик в отговор на покана за сключване на договор за доставяне на продукт;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Заявка </w:t>
      </w:r>
      <w:r>
        <w:rPr>
          <w:bCs/>
          <w:sz w:val="24"/>
          <w:lang w:val="bg-BG"/>
        </w:rPr>
        <w:t xml:space="preserve">– деклариране на необходими материали пред съответен доставчик по количество, качество и срок на доставка. 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Подизпълнител</w:t>
      </w:r>
      <w:r>
        <w:rPr>
          <w:sz w:val="24"/>
          <w:szCs w:val="24"/>
          <w:lang w:val="bg-BG"/>
        </w:rPr>
        <w:t xml:space="preserve"> – това са юридически, или физически лица, предоставящи услуги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ind w:hanging="720" w:start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</w:t>
        <w:tab/>
        <w:t>Оценяване и избор на доставчици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7.1.1.</w:t>
        <w:tab/>
        <w:t>Проучване на потенциалните доставчици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Доставчиците условно могат да бъдат разделени на три групи: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основни материали;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спомагателни материали;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доставчици на услуги /подизпълнители, доставчици на транспорт и спец.техника/.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Проучването на потенциалните доставчици за способността им да доставят продукти, съответстващи на изискванията, се извършва посредством: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проспектни материали;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каталози;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специализирани издания;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панаири и изложби;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оценяване на място;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изпробване на образци;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препоръки от партньори и/или клиенти;</w:t>
      </w:r>
    </w:p>
    <w:p>
      <w:pPr>
        <w:pStyle w:val="Normal"/>
        <w:widowControl/>
        <w:numPr>
          <w:ilvl w:val="0"/>
          <w:numId w:val="1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предишен опит.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Снабдителят и </w:t>
      </w:r>
      <w:r>
        <w:rPr>
          <w:sz w:val="24"/>
          <w:szCs w:val="24"/>
          <w:lang w:val="bg-BG"/>
        </w:rPr>
        <w:t>Технически сътрудник</w:t>
      </w:r>
      <w:r>
        <w:rPr>
          <w:b/>
          <w:bCs/>
          <w:sz w:val="24"/>
          <w:szCs w:val="24"/>
          <w:lang w:val="bg-BG"/>
        </w:rPr>
        <w:t xml:space="preserve"> </w:t>
      </w:r>
      <w:r>
        <w:rPr>
          <w:sz w:val="24"/>
          <w:lang w:val="bg-BG"/>
        </w:rPr>
        <w:t>поддържа база данни с актуална информация за доставчиците на материали. Мениджъра по управление вписва потенциалните доставчици на материали в „Списък на потенциалните доставчици” OD 08.04.00-1, след което прави оценка по избраните критерии.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7.1.2.</w:t>
        <w:tab/>
        <w:t>Показатели за оценка на доставчици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Показателите за оценяване на доставчиците на материали са: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КАЧЕСТВО - доказана способност за</w:t>
      </w:r>
      <w:r>
        <w:rPr>
          <w:sz w:val="24"/>
          <w:lang w:val="bg-BG"/>
        </w:rPr>
        <w:t xml:space="preserve"> удовлетворяване на изискванията</w:t>
      </w:r>
      <w:r>
        <w:rPr>
          <w:sz w:val="24"/>
          <w:szCs w:val="24"/>
          <w:lang w:val="bg-BG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СРОК - възможност за доставка на продукта в срок;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ЦЕНА - конкурентна цена на предлагания продукт;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ПЛАЩАНЕ – условия и начин на плащане на продукта/услугата</w:t>
      </w:r>
      <w:r>
        <w:rPr>
          <w:sz w:val="24"/>
          <w:lang w:val="bg-BG"/>
        </w:rPr>
        <w:t>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НАЛИЧНОСТИ  - осигурени достатъчни количества.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НАЧИН НА ДОСТАВКА - транспортни разходи за доставка </w:t>
      </w:r>
    </w:p>
    <w:p>
      <w:pPr>
        <w:pStyle w:val="Normal"/>
        <w:widowControl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2"/>
        <w:widowControl w:val="false"/>
        <w:rPr/>
      </w:pPr>
      <w:r>
        <w:rPr/>
        <w:t>За изчисляване на броя на точките по всеки от показателите се използва следната формула: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sz w:val="24"/>
          <w:lang w:val="bg-BG"/>
        </w:rPr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N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>=</w:t>
      </w:r>
      <w:r>
        <w:rPr>
          <w:b/>
          <w:sz w:val="24"/>
        </w:rPr>
        <w:t>K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 xml:space="preserve"> </w:t>
      </w:r>
      <w:r>
        <w:rPr>
          <w:b/>
          <w:sz w:val="24"/>
        </w:rPr>
        <w:t>x</w:t>
      </w:r>
      <w:r>
        <w:rPr>
          <w:b/>
          <w:sz w:val="24"/>
          <w:lang w:val="bg-BG"/>
        </w:rPr>
        <w:t xml:space="preserve"> </w:t>
      </w:r>
      <w:r>
        <w:rPr>
          <w:b/>
          <w:sz w:val="24"/>
        </w:rPr>
        <w:t>O</w:t>
      </w:r>
      <w:r>
        <w:rPr>
          <w:b/>
          <w:sz w:val="24"/>
          <w:vertAlign w:val="subscript"/>
        </w:rPr>
        <w:t>n</w:t>
      </w:r>
      <w:r>
        <w:rPr>
          <w:bCs/>
          <w:sz w:val="24"/>
          <w:vertAlign w:val="subscript"/>
          <w:lang w:val="bg-BG"/>
        </w:rPr>
        <w:t xml:space="preserve"> </w:t>
      </w:r>
      <w:r>
        <w:rPr>
          <w:bCs/>
          <w:sz w:val="24"/>
          <w:lang w:val="bg-BG"/>
        </w:rPr>
        <w:t xml:space="preserve">       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rPr/>
      </w:pPr>
      <w:r>
        <w:rPr>
          <w:sz w:val="24"/>
          <w:lang w:val="bg-BG"/>
        </w:rPr>
        <w:t>където</w:t>
        <w:tab/>
        <w:tab/>
        <w:tab/>
      </w:r>
      <w:r>
        <w:rPr>
          <w:b/>
          <w:sz w:val="24"/>
        </w:rPr>
        <w:t>N</w:t>
      </w:r>
      <w:r>
        <w:rPr>
          <w:b/>
          <w:sz w:val="24"/>
          <w:vertAlign w:val="subscript"/>
        </w:rPr>
        <w:t>n</w:t>
      </w:r>
      <w:r>
        <w:rPr>
          <w:b/>
          <w:sz w:val="24"/>
          <w:lang w:val="bg-BG"/>
        </w:rPr>
        <w:t xml:space="preserve"> </w:t>
      </w:r>
      <w:r>
        <w:rPr>
          <w:sz w:val="24"/>
          <w:lang w:val="bg-BG"/>
        </w:rPr>
        <w:t>- брой точки за дадения критерий /</w:t>
      </w:r>
      <w:r>
        <w:rPr>
          <w:sz w:val="24"/>
        </w:rPr>
        <w:t>n</w:t>
      </w:r>
      <w:r>
        <w:rPr>
          <w:sz w:val="24"/>
          <w:lang w:val="bg-BG"/>
        </w:rPr>
        <w:t xml:space="preserve"> = от 1 до 5/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K</w:t>
      </w:r>
      <w:r>
        <w:rPr>
          <w:b/>
          <w:sz w:val="24"/>
          <w:vertAlign w:val="subscript"/>
        </w:rPr>
        <w:t>n</w:t>
      </w:r>
      <w:r>
        <w:rPr>
          <w:sz w:val="24"/>
          <w:lang w:val="bg-BG"/>
        </w:rPr>
        <w:t xml:space="preserve">- коефициент на значимост на дадения критерий 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</w:r>
      <w:r>
        <w:rPr>
          <w:b/>
          <w:sz w:val="24"/>
        </w:rPr>
        <w:t>O</w:t>
      </w:r>
      <w:r>
        <w:rPr>
          <w:b/>
          <w:sz w:val="24"/>
          <w:vertAlign w:val="subscript"/>
        </w:rPr>
        <w:t>n</w:t>
      </w:r>
      <w:r>
        <w:rPr>
          <w:sz w:val="24"/>
        </w:rPr>
        <w:t xml:space="preserve">- </w:t>
      </w:r>
      <w:r>
        <w:rPr>
          <w:sz w:val="24"/>
          <w:lang w:val="bg-BG"/>
        </w:rPr>
        <w:t>оценка</w:t>
      </w:r>
      <w:r>
        <w:rPr>
          <w:sz w:val="24"/>
        </w:rPr>
        <w:t xml:space="preserve"> </w:t>
      </w:r>
      <w:r>
        <w:rPr>
          <w:sz w:val="24"/>
          <w:lang w:val="bg-BG"/>
        </w:rPr>
        <w:t>за</w:t>
      </w:r>
      <w:r>
        <w:rPr>
          <w:sz w:val="24"/>
        </w:rPr>
        <w:t xml:space="preserve"> </w:t>
      </w:r>
      <w:r>
        <w:rPr>
          <w:sz w:val="24"/>
          <w:lang w:val="bg-BG"/>
        </w:rPr>
        <w:t>дадения</w:t>
      </w:r>
      <w:r>
        <w:rPr>
          <w:sz w:val="24"/>
        </w:rPr>
        <w:t xml:space="preserve"> </w:t>
      </w:r>
      <w:r>
        <w:rPr>
          <w:sz w:val="24"/>
          <w:lang w:val="bg-BG"/>
        </w:rPr>
        <w:t>критерий</w:t>
      </w:r>
      <w:r>
        <w:rPr>
          <w:sz w:val="24"/>
        </w:rPr>
        <w:t xml:space="preserve"> 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228"/>
        <w:gridCol w:w="1182"/>
        <w:gridCol w:w="1134"/>
        <w:gridCol w:w="1134"/>
        <w:gridCol w:w="992"/>
        <w:gridCol w:w="1560"/>
      </w:tblGrid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Критерий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КАЧЕ-СТВО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ПЛАЩА-НЕ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НАЛИЧНОСТИ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er"/>
              <w:tabs>
                <w:tab w:val="clear" w:pos="4153"/>
                <w:tab w:val="clear" w:pos="8306"/>
              </w:tabs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НАЧИН НА ДОСТАВКА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4"/>
                <w:lang w:val="bg-BG"/>
              </w:rPr>
              <w:t>Коефициент</w:t>
            </w:r>
            <w:r>
              <w:rPr>
                <w:b/>
                <w:sz w:val="24"/>
              </w:rPr>
              <w:t xml:space="preserve"> “K</w:t>
            </w:r>
            <w:r>
              <w:rPr>
                <w:b/>
                <w:sz w:val="24"/>
                <w:vertAlign w:val="subscript"/>
              </w:rPr>
              <w:t>n</w:t>
            </w:r>
            <w:r>
              <w:rPr>
                <w:b/>
                <w:sz w:val="24"/>
              </w:rPr>
              <w:t>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Оценка</w:t>
            </w:r>
            <w:r>
              <w:rPr>
                <w:b/>
                <w:sz w:val="24"/>
              </w:rPr>
              <w:t xml:space="preserve"> “O</w:t>
            </w:r>
            <w:r>
              <w:rPr>
                <w:b/>
                <w:sz w:val="24"/>
                <w:vertAlign w:val="subscript"/>
              </w:rPr>
              <w:t>n</w:t>
            </w:r>
            <w:r>
              <w:rPr>
                <w:b/>
                <w:sz w:val="24"/>
              </w:rPr>
              <w:t>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</w:rPr>
            </w:pPr>
            <w:r>
              <w:rPr>
                <w:sz w:val="24"/>
              </w:rPr>
              <w:t>1-5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1-5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4"/>
              </w:rPr>
            </w:pPr>
            <w:r>
              <w:rPr>
                <w:b/>
                <w:sz w:val="24"/>
                <w:lang w:val="bg-BG"/>
              </w:rPr>
              <w:t>Максимален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bg-BG"/>
              </w:rPr>
              <w:t>брой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lang w:val="bg-BG"/>
              </w:rPr>
              <w:t>точки</w:t>
            </w:r>
            <w:r>
              <w:rPr>
                <w:b/>
                <w:sz w:val="24"/>
              </w:rPr>
              <w:t xml:space="preserve"> “N”</w:t>
            </w:r>
          </w:p>
        </w:tc>
        <w:tc>
          <w:tcPr>
            <w:tcW w:w="1228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25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</w:rPr>
              <w:t>2</w:t>
            </w:r>
            <w:r>
              <w:rPr>
                <w:sz w:val="24"/>
                <w:lang w:val="bg-BG"/>
              </w:rPr>
              <w:t>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25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10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Общия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брой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точки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даден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доставчик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получава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сумата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точките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получени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всеки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показател.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7.1.3.</w:t>
        <w:tab/>
        <w:t>Критерии за присъждане на точки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КАЧЕСТВО</w:t>
      </w:r>
    </w:p>
    <w:p>
      <w:pPr>
        <w:pStyle w:val="Normal"/>
        <w:rPr/>
      </w:pPr>
      <w:r>
        <w:rPr>
          <w:sz w:val="24"/>
          <w:lang w:val="bg-BG"/>
        </w:rPr>
        <w:t>Оценката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прави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база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приетите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рекламации</w:t>
      </w:r>
      <w:r>
        <w:rPr>
          <w:sz w:val="24"/>
          <w:lang w:val="ru-RU"/>
        </w:rPr>
        <w:t xml:space="preserve"> и </w:t>
      </w:r>
      <w:r>
        <w:rPr>
          <w:sz w:val="24"/>
          <w:lang w:val="bg-BG"/>
        </w:rPr>
        <w:t>извършения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входящ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контрол</w:t>
      </w:r>
      <w:r>
        <w:rPr>
          <w:sz w:val="24"/>
          <w:lang w:val="ru-RU"/>
        </w:rPr>
        <w:t>: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5 - </w:t>
      </w:r>
      <w:r>
        <w:rPr>
          <w:sz w:val="24"/>
          <w:lang w:val="bg-BG"/>
        </w:rPr>
        <w:t>без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дефекти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4 - с </w:t>
      </w:r>
      <w:r>
        <w:rPr>
          <w:sz w:val="24"/>
          <w:lang w:val="bg-BG"/>
        </w:rPr>
        <w:t>един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случаен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3 - </w:t>
      </w:r>
      <w:r>
        <w:rPr>
          <w:sz w:val="24"/>
          <w:lang w:val="bg-BG"/>
        </w:rPr>
        <w:t>до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случайни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2 - </w:t>
      </w:r>
      <w:r>
        <w:rPr>
          <w:sz w:val="24"/>
          <w:lang w:val="bg-BG"/>
        </w:rPr>
        <w:t>повече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два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различни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1 - </w:t>
      </w:r>
      <w:r>
        <w:rPr>
          <w:sz w:val="24"/>
          <w:lang w:val="bg-BG"/>
        </w:rPr>
        <w:t>повтарящ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дефект</w:t>
      </w:r>
      <w:r>
        <w:rPr>
          <w:sz w:val="24"/>
          <w:lang w:val="ru-RU"/>
        </w:rPr>
        <w:t>.</w:t>
      </w:r>
    </w:p>
    <w:p>
      <w:pPr>
        <w:pStyle w:val="Normal"/>
        <w:rPr/>
      </w:pPr>
      <w:r>
        <w:rPr>
          <w:sz w:val="24"/>
          <w:lang w:val="bg-BG"/>
        </w:rPr>
        <w:t>Забележка</w:t>
      </w:r>
      <w:r>
        <w:rPr>
          <w:sz w:val="24"/>
          <w:lang w:val="ru-RU"/>
        </w:rPr>
        <w:t xml:space="preserve">: </w:t>
      </w:r>
      <w:r>
        <w:rPr>
          <w:sz w:val="24"/>
          <w:lang w:val="bg-BG"/>
        </w:rPr>
        <w:t>За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нови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доставчици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приема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коефициент</w:t>
      </w:r>
      <w:r>
        <w:rPr>
          <w:sz w:val="24"/>
          <w:lang w:val="ru-RU"/>
        </w:rPr>
        <w:t xml:space="preserve"> 3</w:t>
      </w:r>
    </w:p>
    <w:p>
      <w:pPr>
        <w:pStyle w:val="Normal"/>
        <w:ind w:start="720" w:end="0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СРОК ЗА ДОСТАВКА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 xml:space="preserve">5 - в </w:t>
      </w:r>
      <w:r>
        <w:rPr>
          <w:sz w:val="24"/>
          <w:lang w:val="bg-BG"/>
        </w:rPr>
        <w:t>поискания</w:t>
      </w:r>
      <w:r>
        <w:rPr>
          <w:sz w:val="24"/>
        </w:rPr>
        <w:t xml:space="preserve"> </w:t>
      </w:r>
      <w:r>
        <w:rPr>
          <w:sz w:val="24"/>
          <w:lang w:val="bg-BG"/>
        </w:rPr>
        <w:t>срок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3 - </w:t>
      </w:r>
      <w:r>
        <w:rPr>
          <w:sz w:val="24"/>
          <w:lang w:val="bg-BG"/>
        </w:rPr>
        <w:t>закъснение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до</w:t>
      </w:r>
      <w:r>
        <w:rPr>
          <w:sz w:val="24"/>
          <w:lang w:val="ru-RU"/>
        </w:rPr>
        <w:t xml:space="preserve"> 1 </w:t>
      </w:r>
      <w:r>
        <w:rPr>
          <w:sz w:val="24"/>
          <w:lang w:val="bg-BG"/>
        </w:rPr>
        <w:t>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поискания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срок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/>
      </w:pPr>
      <w:r>
        <w:rPr>
          <w:sz w:val="24"/>
          <w:lang w:val="ru-RU"/>
        </w:rPr>
        <w:t xml:space="preserve">1 - </w:t>
      </w:r>
      <w:r>
        <w:rPr>
          <w:sz w:val="24"/>
          <w:lang w:val="bg-BG"/>
        </w:rPr>
        <w:t>закъснение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над</w:t>
      </w:r>
      <w:r>
        <w:rPr>
          <w:sz w:val="24"/>
          <w:lang w:val="ru-RU"/>
        </w:rPr>
        <w:t xml:space="preserve"> 1 </w:t>
      </w:r>
      <w:r>
        <w:rPr>
          <w:sz w:val="24"/>
          <w:lang w:val="bg-BG"/>
        </w:rPr>
        <w:t>ден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от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поискания</w:t>
      </w:r>
      <w:r>
        <w:rPr>
          <w:sz w:val="24"/>
          <w:lang w:val="ru-RU"/>
        </w:rPr>
        <w:t xml:space="preserve"> </w:t>
      </w:r>
      <w:r>
        <w:rPr>
          <w:sz w:val="24"/>
          <w:lang w:val="bg-BG"/>
        </w:rPr>
        <w:t>срок</w:t>
      </w:r>
      <w:r>
        <w:rPr>
          <w:sz w:val="24"/>
          <w:lang w:val="ru-RU"/>
        </w:rPr>
        <w:t>.</w:t>
      </w:r>
    </w:p>
    <w:p>
      <w:pPr>
        <w:pStyle w:val="Normal"/>
        <w:ind w:start="720" w:end="0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ЦЕНА</w:t>
      </w:r>
    </w:p>
    <w:p>
      <w:pPr>
        <w:pStyle w:val="BodyText"/>
        <w:rPr/>
      </w:pPr>
      <w:r>
        <w:rPr/>
        <w:t xml:space="preserve">Оценката се прави на база средната пазарна цена на продукта, като се включват и направените отстъпки: 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5 - под средната пазарна цена;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3 - равна на средната пазарна цена;</w:t>
      </w:r>
    </w:p>
    <w:p>
      <w:pPr>
        <w:pStyle w:val="Normal"/>
        <w:ind w:start="720" w:end="0"/>
        <w:rPr/>
      </w:pPr>
      <w:r>
        <w:rPr>
          <w:sz w:val="24"/>
        </w:rPr>
        <w:t>1 -</w:t>
      </w:r>
      <w:r>
        <w:rPr>
          <w:sz w:val="24"/>
          <w:lang w:val="bg-BG"/>
        </w:rPr>
        <w:t xml:space="preserve"> над средната пазарна цена</w:t>
      </w:r>
      <w:r>
        <w:rPr>
          <w:sz w:val="24"/>
        </w:rPr>
        <w:t>.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НАЧИН НА ПЛАЩАНЕ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ru-RU"/>
        </w:rPr>
        <w:t>5 -</w:t>
      </w:r>
      <w:r>
        <w:rPr>
          <w:sz w:val="24"/>
          <w:lang w:val="bg-BG"/>
        </w:rPr>
        <w:t xml:space="preserve"> разсрочено</w:t>
      </w:r>
      <w:r>
        <w:rPr>
          <w:sz w:val="24"/>
          <w:lang w:val="ru-RU"/>
        </w:rPr>
        <w:t>,</w:t>
      </w:r>
      <w:r>
        <w:rPr>
          <w:sz w:val="24"/>
          <w:lang w:val="bg-BG"/>
        </w:rPr>
        <w:t xml:space="preserve"> над</w:t>
      </w:r>
      <w:r>
        <w:rPr>
          <w:sz w:val="24"/>
          <w:lang w:val="ru-RU"/>
        </w:rPr>
        <w:t xml:space="preserve"> 1</w:t>
      </w:r>
      <w:r>
        <w:rPr>
          <w:sz w:val="24"/>
          <w:lang w:val="bg-BG"/>
        </w:rPr>
        <w:t xml:space="preserve"> месец след доставката</w:t>
      </w:r>
      <w:r>
        <w:rPr>
          <w:sz w:val="24"/>
          <w:lang w:val="ru-RU"/>
        </w:rPr>
        <w:t>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4 – разсрочено, до 1 месец след доставката;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3 – плащане при доставката;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2 – авансово плащане до 50%;</w:t>
      </w:r>
    </w:p>
    <w:p>
      <w:pPr>
        <w:pStyle w:val="Normal"/>
        <w:ind w:start="720" w:end="0"/>
        <w:rPr/>
      </w:pPr>
      <w:r>
        <w:rPr>
          <w:sz w:val="24"/>
        </w:rPr>
        <w:t>1 –</w:t>
      </w:r>
      <w:r>
        <w:rPr>
          <w:sz w:val="24"/>
          <w:lang w:val="bg-BG"/>
        </w:rPr>
        <w:t xml:space="preserve"> авансово плащане над</w:t>
      </w:r>
      <w:r>
        <w:rPr>
          <w:sz w:val="24"/>
        </w:rPr>
        <w:t xml:space="preserve"> 50 %</w:t>
      </w:r>
      <w:r>
        <w:rPr>
          <w:sz w:val="24"/>
          <w:lang w:val="bg-BG"/>
        </w:rPr>
        <w:t>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418" w:leader="none"/>
        </w:tabs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bg-BG"/>
        </w:rPr>
        <w:t>НАЛИЧНОСТИ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>5 –</w:t>
      </w:r>
      <w:r>
        <w:rPr>
          <w:sz w:val="24"/>
          <w:lang w:val="bg-BG"/>
        </w:rPr>
        <w:t xml:space="preserve"> осигурени наличности;</w:t>
      </w:r>
    </w:p>
    <w:p>
      <w:pPr>
        <w:pStyle w:val="Normal"/>
        <w:ind w:start="720" w:end="0"/>
        <w:rPr>
          <w:sz w:val="24"/>
        </w:rPr>
      </w:pPr>
      <w:r>
        <w:rPr>
          <w:sz w:val="24"/>
        </w:rPr>
        <w:t>3 –</w:t>
      </w:r>
      <w:r>
        <w:rPr>
          <w:sz w:val="24"/>
          <w:lang w:val="bg-BG"/>
        </w:rPr>
        <w:t xml:space="preserve"> нередовно осигуряване;</w:t>
      </w:r>
    </w:p>
    <w:p>
      <w:pPr>
        <w:pStyle w:val="Normal"/>
        <w:ind w:start="720" w:end="0"/>
        <w:rPr/>
      </w:pPr>
      <w:r>
        <w:rPr>
          <w:sz w:val="24"/>
        </w:rPr>
        <w:t>1 -</w:t>
      </w:r>
      <w:r>
        <w:rPr>
          <w:sz w:val="24"/>
          <w:lang w:val="bg-BG"/>
        </w:rPr>
        <w:t xml:space="preserve"> няма наличности.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numPr>
          <w:ilvl w:val="0"/>
          <w:numId w:val="3"/>
        </w:numPr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НАЧИН НА ДОСТАВКА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5 – осигурен транспорт</w:t>
      </w:r>
    </w:p>
    <w:p>
      <w:pPr>
        <w:pStyle w:val="Normal"/>
        <w:ind w:start="720" w:end="0"/>
        <w:rPr>
          <w:sz w:val="24"/>
          <w:lang w:val="bg-BG"/>
        </w:rPr>
      </w:pPr>
      <w:r>
        <w:rPr>
          <w:sz w:val="24"/>
          <w:lang w:val="bg-BG"/>
        </w:rPr>
        <w:t>2- осигурен транспорт от доставчика за сметка на клиента</w:t>
      </w:r>
    </w:p>
    <w:p>
      <w:pPr>
        <w:pStyle w:val="Normal"/>
        <w:numPr>
          <w:ilvl w:val="0"/>
          <w:numId w:val="13"/>
        </w:numPr>
        <w:rPr>
          <w:sz w:val="24"/>
          <w:lang w:val="bg-BG"/>
        </w:rPr>
      </w:pPr>
      <w:r>
        <w:rPr>
          <w:sz w:val="24"/>
          <w:lang w:val="bg-BG"/>
        </w:rPr>
        <w:t>без осигурен транспорт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7.1.4.</w:t>
        <w:tab/>
        <w:t>Избор на доставчик</w:t>
      </w:r>
    </w:p>
    <w:p>
      <w:pPr>
        <w:pStyle w:val="Normal"/>
        <w:jc w:val="both"/>
        <w:rPr/>
      </w:pPr>
      <w:r>
        <w:rPr>
          <w:sz w:val="24"/>
          <w:lang w:val="bg-BG"/>
        </w:rPr>
        <w:t>Максималният възможен брой точки за всеки доставчик е 100. Всички д</w:t>
      </w:r>
      <w:r>
        <w:rPr>
          <w:iCs/>
          <w:sz w:val="24"/>
          <w:lang w:val="bg-BG"/>
        </w:rPr>
        <w:t>оставчици събрали най-малко 65 точки са утвърдени</w:t>
      </w:r>
      <w:r>
        <w:rPr>
          <w:sz w:val="24"/>
          <w:lang w:val="bg-BG"/>
        </w:rPr>
        <w:t xml:space="preserve">. При подадени оферти от двама и повече включени в Списъка доставчици, предимство има този с повече точки.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Списъкът се актуализира най-малко веднъж в годината, а при необходимост и по-често. Снабдителят поддържа актуална информация за утвърдените и резервните доставчици. При необходимост се извършва целево набиране на информация от доставчици чрез анкети, въпросници, посещения на място или по други подходящи начини и се прави нова оценка.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Cs/>
          <w:sz w:val="24"/>
          <w:lang w:val="bg-BG"/>
        </w:rPr>
        <w:t>В определени случаи, по преценка на ръководителя, някой от критериите може да бъде приоритетен, при което да се промени оценката за даден доставчик.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</w:t>
        <w:tab/>
        <w:t>Изготвяне на документи за доставка</w:t>
      </w:r>
    </w:p>
    <w:p>
      <w:pPr>
        <w:pStyle w:val="BodyText2"/>
        <w:rPr>
          <w:highlight w:val="green"/>
        </w:rPr>
      </w:pPr>
      <w:r>
        <w:rPr/>
        <w:t xml:space="preserve">Изискванията към материалите се базират на качеството на готовия продукт и удовлетвореността на клиента. Заявяването се предхожда от изясняване на всички изисквания към материала, който трябва да бъде доставен. </w:t>
      </w:r>
    </w:p>
    <w:p>
      <w:pPr>
        <w:pStyle w:val="Normal"/>
        <w:widowControl/>
        <w:jc w:val="both"/>
        <w:rPr>
          <w:rFonts w:ascii="ExcelciorCyr;Times New Roman" w:hAnsi="ExcelciorCyr;Times New Roman" w:cs="ExcelciorCyr;Times New Roman"/>
          <w:lang w:val="bg-BG"/>
        </w:rPr>
      </w:pPr>
      <w:r>
        <w:rPr>
          <w:sz w:val="24"/>
          <w:lang w:val="bg-BG"/>
        </w:rPr>
        <w:t>За закупуване на материали се изготвя „Заявка за материали” - 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08.04.00-2. </w:t>
        <w:br/>
      </w:r>
    </w:p>
    <w:p>
      <w:pPr>
        <w:pStyle w:val="Normal"/>
        <w:jc w:val="both"/>
        <w:rPr/>
      </w:pPr>
      <w:r>
        <w:rPr>
          <w:sz w:val="24"/>
          <w:lang w:val="bg-BG"/>
        </w:rPr>
        <w:t>Във връзка със закупуването на продукти, отговорният служител осигурява, съставя и съхранява и следните допълнителни документи: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360" w:leader="none"/>
        </w:tabs>
        <w:ind w:hanging="0" w:start="0" w:end="0"/>
        <w:rPr>
          <w:sz w:val="24"/>
        </w:rPr>
      </w:pPr>
      <w:r>
        <w:rPr>
          <w:i w:val="false"/>
          <w:iCs w:val="false"/>
          <w:sz w:val="24"/>
        </w:rPr>
        <w:t>сертификати с техническите параметри на продуктите, гаранционни карти и декларации за съответствие – представят се от доставчика;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60" w:leader="none"/>
        </w:tabs>
        <w:ind w:hanging="0" w:start="0" w:end="0"/>
        <w:jc w:val="both"/>
        <w:rPr>
          <w:bCs/>
          <w:sz w:val="24"/>
          <w:lang w:val="bg-BG"/>
        </w:rPr>
      </w:pPr>
      <w:r>
        <w:rPr>
          <w:sz w:val="24"/>
          <w:lang w:val="bg-BG"/>
        </w:rPr>
        <w:t xml:space="preserve">приемо-предавателни протоколи се попълват от техническия ръководител в два екземпляра- единия остава при него, а другия в офиса на фирмата, отразяващи движението на продукти, </w:t>
      </w:r>
      <w:r>
        <w:rPr>
          <w:bCs/>
          <w:sz w:val="24"/>
          <w:lang w:val="bg-BG"/>
        </w:rPr>
        <w:t>между обектите</w:t>
      </w:r>
      <w:r>
        <w:rPr>
          <w:sz w:val="24"/>
          <w:lang w:val="bg-BG"/>
        </w:rPr>
        <w:t>.</w:t>
      </w:r>
      <w:r>
        <w:rPr>
          <w:bCs/>
          <w:sz w:val="24"/>
          <w:lang w:val="bg-BG"/>
        </w:rPr>
        <w:t xml:space="preserve">  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7.3.</w:t>
        <w:tab/>
        <w:t xml:space="preserve">Организация на доставките 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Фирмата работи с дълготрайни партньори с доказано качество, поради това контролът и другите действия, необходими, за да се гарантира, че закупеният продукт удовлетворява предявените изисквания, е количествен и по документи за съответствие със заявените характеристики.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При установено несъответствие при доставка се действа според изискванията на P</w:t>
      </w:r>
      <w:r>
        <w:rPr>
          <w:sz w:val="24"/>
          <w:lang w:val="en-US"/>
        </w:rPr>
        <w:t>K</w:t>
      </w:r>
      <w:r>
        <w:rPr>
          <w:sz w:val="24"/>
          <w:lang w:val="bg-BG"/>
        </w:rPr>
        <w:t xml:space="preserve"> 10.02.00 „Несъответствия и коригиращи действия”.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 xml:space="preserve">При </w:t>
      </w:r>
      <w:r>
        <w:rPr>
          <w:sz w:val="24"/>
          <w:lang w:val="bg-BG"/>
        </w:rPr>
        <w:t>пристигане на заявените материали отговорните служители: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разтоварват и складират на определените места получените материали;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отразяват в документацията </w:t>
      </w:r>
      <w:r>
        <w:rPr>
          <w:bCs/>
          <w:sz w:val="24"/>
          <w:lang w:val="bg-BG"/>
        </w:rPr>
        <w:t>доставените количества;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проверяват съответствието като вид и количество.</w:t>
      </w:r>
    </w:p>
    <w:p>
      <w:pPr>
        <w:pStyle w:val="Normal"/>
        <w:widowControl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p>
      <w:pPr>
        <w:pStyle w:val="Heading1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7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ru-RU"/>
        </w:rPr>
        <w:t>4</w:t>
      </w:r>
      <w:r>
        <w:rPr>
          <w:rFonts w:cs="Times New Roman" w:ascii="Times New Roman" w:hAnsi="Times New Roman"/>
          <w:sz w:val="24"/>
          <w:szCs w:val="24"/>
        </w:rPr>
        <w:t xml:space="preserve"> </w:t>
        <w:tab/>
        <w:t xml:space="preserve">Работа с подизпълнители </w:t>
      </w:r>
    </w:p>
    <w:p>
      <w:pPr>
        <w:pStyle w:val="BodyTextIndent"/>
        <w:ind w:hanging="0" w:end="0"/>
        <w:rPr>
          <w:szCs w:val="24"/>
        </w:rPr>
      </w:pPr>
      <w:r>
        <w:rPr>
          <w:szCs w:val="24"/>
        </w:rPr>
        <w:t>Подизпълнителите са юридически, или физически лица, предоставящи услуги, в случай, че от фирмата се изисква изпълнение на продукт/услуга и фирмата не е в състояние само със собствени сили да извърши всички дейности.</w:t>
      </w:r>
    </w:p>
    <w:p>
      <w:pPr>
        <w:pStyle w:val="Normal"/>
        <w:jc w:val="both"/>
        <w:rPr/>
      </w:pPr>
      <w:r>
        <w:rPr>
          <w:sz w:val="24"/>
          <w:szCs w:val="24"/>
          <w:lang w:val="bg-BG"/>
        </w:rPr>
        <w:t>Външни услуги или изнесени процеси могат да са: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транспортни услуги на материали, съоръжения, работници и т.н.;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услуги по обработка на продукти;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услуги с машини; </w:t>
      </w:r>
    </w:p>
    <w:p>
      <w:pPr>
        <w:pStyle w:val="Normal"/>
        <w:numPr>
          <w:ilvl w:val="0"/>
          <w:numId w:val="6"/>
        </w:numPr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услуги по направа на специални инсталации.</w:t>
      </w:r>
    </w:p>
    <w:p>
      <w:pPr>
        <w:pStyle w:val="Normal"/>
        <w:overflowPunct w:val="false"/>
        <w:autoSpaceDE w:val="false"/>
        <w:jc w:val="both"/>
        <w:textAlignment w:val="baseline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Фирмата прилага надеждни механизми за контрол над подизпълнители които включват входящ контрол и при необходимост одити при подизпълнителя.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12"/>
        </w:numPr>
        <w:rPr>
          <w:sz w:val="24"/>
          <w:lang w:val="bg-BG"/>
        </w:rPr>
      </w:pPr>
      <w:r>
        <w:rPr>
          <w:sz w:val="24"/>
          <w:lang w:val="bg-BG"/>
        </w:rPr>
        <w:t>PK 10.02.00 „Несъответствия и коригиращи действия”;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OD 08.04.00-1 “Списък на потенциалните доставчици”; 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08.04.00-2 „Заявка за материали”;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tabs>
          <w:tab w:val="clear" w:pos="720"/>
          <w:tab w:val="left" w:pos="2508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ExcelciorCyr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6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873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b/>
              <w:lang w:val="en-US"/>
            </w:rPr>
            <w:t>PK 0</w:t>
          </w:r>
          <w:r>
            <w:rPr>
              <w:b/>
              <w:lang w:val="bg-BG"/>
            </w:rPr>
            <w:t>8.04</w:t>
          </w:r>
          <w:r>
            <w:rPr>
              <w:b/>
              <w:lang w:val="en-US"/>
            </w:rPr>
            <w:t>.00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/7</w:t>
          </w:r>
        </w:p>
      </w:tc>
    </w:tr>
    <w:tr>
      <w:trPr>
        <w:cantSplit/>
      </w:trPr>
      <w:tc>
        <w:tcPr>
          <w:tcW w:w="9464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УПРАВЛЕНИЕ НА ДОСТАВКИТЕ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en-US"/>
            </w:rPr>
            <w:t>Витоша газ“  ЕООД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08.04.00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</w:t>
          </w:r>
          <w:r>
            <w:rPr>
              <w:lang w:val="en-US"/>
            </w:rPr>
            <w:t>15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1/5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bg-BG"/>
            </w:rPr>
            <w:t>УПРАВЛЕНИЕ НА ДОСТАВКИТЕ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Header"/>
      <w:widowControl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94"/>
        </w:tabs>
        <w:ind w:start="567" w:firstLine="567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360"/>
        </w:tabs>
        <w:ind w:start="170" w:hanging="17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-"/>
      <w:lvlJc w:val="start"/>
      <w:pPr>
        <w:tabs>
          <w:tab w:val="num" w:pos="1080"/>
        </w:tabs>
        <w:ind w:start="10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sz w:val="24"/>
      <w:lang w:val="bg-BG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jc w:val="both"/>
      <w:outlineLvl w:val="4"/>
    </w:pPr>
    <w:rPr>
      <w:b/>
      <w:bCs/>
      <w:i/>
      <w:iCs/>
      <w:lang w:val="bg-BG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  <w:i/>
      <w:iCs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Times New Roman" w:hAnsi="Times New Roman" w:eastAsia="Times New Roman" w:cs="Times New Roman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Times New Roman" w:hAnsi="Times New Roman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>
      <w:rFonts w:ascii="Symbol" w:hAnsi="Symbol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i/>
      <w:iCs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  <w:jc w:val="both"/>
    </w:pPr>
    <w:rPr>
      <w:sz w:val="24"/>
      <w:lang w:val="bg-BG"/>
    </w:rPr>
  </w:style>
  <w:style w:type="paragraph" w:styleId="BodyText3">
    <w:name w:val="Body Text 3"/>
    <w:basedOn w:val="Normal"/>
    <w:qFormat/>
    <w:pPr>
      <w:widowControl/>
    </w:pPr>
    <w:rPr>
      <w:sz w:val="24"/>
      <w:lang w:val="bg-BG"/>
    </w:rPr>
  </w:style>
  <w:style w:type="paragraph" w:styleId="BodyTextIndent">
    <w:name w:val="Body Text Indent"/>
    <w:basedOn w:val="Normal"/>
    <w:pPr>
      <w:ind w:firstLine="720" w:start="0" w:end="0"/>
      <w:jc w:val="both"/>
    </w:pPr>
    <w:rPr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2008-08-12T15:16:00Z</dcterms:created>
  <dc:creator>MM</dc:creator>
  <dc:description/>
  <cp:keywords/>
  <dc:language>bg-BG</dc:language>
  <cp:lastModifiedBy>Julia</cp:lastModifiedBy>
  <cp:lastPrinted>2006-08-15T15:05:00Z</cp:lastPrinted>
  <dcterms:modified xsi:type="dcterms:W3CDTF">2019-11-06T20:35:00Z</dcterms:modified>
  <cp:revision>31</cp:revision>
  <dc:subject>Система за управление на качеството</dc:subject>
  <dc:title>Закупуване</dc:title>
</cp:coreProperties>
</file>