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1. ЦЕЛ</w:t>
      </w:r>
    </w:p>
    <w:p>
      <w:pPr>
        <w:pStyle w:val="Normal"/>
        <w:widowControl/>
        <w:jc w:val="both"/>
        <w:rPr>
          <w:b/>
          <w:sz w:val="24"/>
          <w:lang w:val="en-US"/>
        </w:rPr>
      </w:pPr>
      <w:r>
        <w:rPr>
          <w:b/>
          <w:sz w:val="24"/>
          <w:lang w:val="en-US"/>
        </w:rPr>
      </w:r>
    </w:p>
    <w:p>
      <w:pPr>
        <w:pStyle w:val="Normal"/>
        <w:widowControl/>
        <w:jc w:val="both"/>
        <w:rPr/>
      </w:pPr>
      <w:r>
        <w:rPr>
          <w:sz w:val="24"/>
          <w:lang w:val="bg-BG"/>
        </w:rPr>
        <w:t>Тази процедура определя реда на изпълнение на процеса на планиране, провеждане и документиране на проверки на Системата по управление, с цел независимо оценяване.</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2. СЪДЪРЖАНИЕ НА ПРОЦЕСА</w:t>
      </w:r>
    </w:p>
    <w:p>
      <w:pPr>
        <w:pStyle w:val="BodyText"/>
        <w:rPr>
          <w:b/>
          <w:sz w:val="24"/>
          <w:lang w:val="en-US"/>
        </w:rPr>
      </w:pPr>
      <w:r>
        <w:rPr>
          <w:b/>
          <w:sz w:val="24"/>
          <w:lang w:val="en-US"/>
        </w:rPr>
      </w:r>
    </w:p>
    <w:p>
      <w:pPr>
        <w:pStyle w:val="BodyText"/>
        <w:rPr/>
      </w:pPr>
      <w:r>
        <w:rPr/>
        <w:t>За реализирането на процесите за вътрешни одити, е необходимо да бъдат извършени следните дейности</w:t>
      </w:r>
    </w:p>
    <w:p>
      <w:pPr>
        <w:pStyle w:val="Normal"/>
        <w:widowControl/>
        <w:jc w:val="both"/>
        <w:rPr>
          <w:b/>
          <w:sz w:val="24"/>
          <w:lang w:val="bg-BG"/>
        </w:rPr>
      </w:pPr>
      <w:r>
        <w:rPr>
          <w:b/>
          <w:sz w:val="24"/>
          <w:lang w:val="bg-BG"/>
        </w:rPr>
      </w:r>
    </w:p>
    <w:p>
      <w:pPr>
        <w:pStyle w:val="Normal"/>
        <w:widowControl/>
        <w:ind w:firstLine="720" w:end="0"/>
        <w:jc w:val="both"/>
        <w:rPr>
          <w:b/>
          <w:sz w:val="24"/>
          <w:lang w:val="bg-BG"/>
        </w:rPr>
      </w:pPr>
      <w:r>
        <w:rPr>
          <w:b/>
          <w:sz w:val="24"/>
          <w:lang w:val="bg-BG"/>
        </w:rPr>
        <w:t>ВХОД</w:t>
        <w:tab/>
        <w:tab/>
        <w:tab/>
        <w:tab/>
        <w:t>ДЕЙНОСТИ</w:t>
        <w:tab/>
        <w:tab/>
        <w:tab/>
        <w:tab/>
        <w:t>ИЗХОД</w:t>
      </w:r>
    </w:p>
    <w:p>
      <w:pPr>
        <w:pStyle w:val="Normal"/>
        <w:widowControl/>
        <w:jc w:val="both"/>
        <w:rPr>
          <w:b/>
          <w:sz w:val="24"/>
          <w:lang w:val="bg-BG" w:eastAsia="bg-BG"/>
        </w:rPr>
      </w:pPr>
      <w:r>
        <w:rPr>
          <w:b/>
          <w:sz w:val="24"/>
          <w:lang w:val="bg-BG" w:eastAsia="bg-BG"/>
        </w:rPr>
        <mc:AlternateContent>
          <mc:Choice Requires="wps">
            <w:drawing>
              <wp:anchor distT="0" distB="0" distL="114935" distR="114935" simplePos="0" relativeHeight="2" behindDoc="0" locked="0" layoutInCell="1" allowOverlap="1">
                <wp:simplePos x="0" y="0"/>
                <wp:positionH relativeFrom="column">
                  <wp:posOffset>38100</wp:posOffset>
                </wp:positionH>
                <wp:positionV relativeFrom="paragraph">
                  <wp:posOffset>55245</wp:posOffset>
                </wp:positionV>
                <wp:extent cx="1689100" cy="1937385"/>
                <wp:effectExtent l="9525" t="10160" r="87630" b="85725"/>
                <wp:wrapNone/>
                <wp:docPr id="1" name=""/>
                <a:graphic xmlns:a="http://schemas.openxmlformats.org/drawingml/2006/main">
                  <a:graphicData uri="http://schemas.microsoft.com/office/word/2010/wordprocessingShape">
                    <wps:wsp>
                      <wps:cNvSpPr/>
                      <wps:spPr>
                        <a:xfrm>
                          <a:off x="0" y="0"/>
                          <a:ext cx="1689120" cy="1937520"/>
                        </a:xfrm>
                        <a:custGeom>
                          <a:avLst/>
                          <a:gdLst>
                            <a:gd name="textAreaLeft" fmla="*/ 0 w 957600"/>
                            <a:gd name="textAreaRight" fmla="*/ 957960 w 957600"/>
                            <a:gd name="textAreaTop" fmla="*/ 0 h 1098360"/>
                            <a:gd name="textAreaBottom" fmla="*/ 1098720 h 109836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en-US" w:bidi="ar-SA"/>
                              </w:rPr>
                              <w:t>Изисквания на:</w:t>
                            </w:r>
                          </w:p>
                          <w:p>
                            <w:pPr>
                              <w:overflowPunct w:val="false"/>
                              <w:bidi w:val="0"/>
                              <w:rPr/>
                            </w:pPr>
                            <w:r>
                              <w:rPr>
                                <w:rFonts w:ascii="Times New Roman" w:hAnsi="Times New Roman" w:eastAsia="Times New Roman" w:cs="Times New Roman"/>
                                <w:color w:val="auto"/>
                                <w:kern w:val="2"/>
                                <w:sz w:val="20"/>
                                <w:szCs w:val="20"/>
                                <w:lang w:val="bg-BG" w:bidi="ar-SA"/>
                              </w:rPr>
                              <w:t>процедури по качеството;</w:t>
                            </w:r>
                          </w:p>
                          <w:p>
                            <w:pPr>
                              <w:overflowPunct w:val="false"/>
                              <w:bidi w:val="0"/>
                              <w:rPr/>
                            </w:pPr>
                            <w:r>
                              <w:rPr>
                                <w:rFonts w:ascii="Times New Roman" w:hAnsi="Times New Roman" w:eastAsia="Times New Roman" w:cs="Times New Roman"/>
                                <w:color w:val="auto"/>
                                <w:kern w:val="2"/>
                                <w:sz w:val="20"/>
                                <w:szCs w:val="20"/>
                                <w:lang w:val="bg-BG" w:bidi="ar-SA"/>
                              </w:rPr>
                              <w:t>работни инструкции;</w:t>
                            </w:r>
                          </w:p>
                          <w:p>
                            <w:pPr>
                              <w:overflowPunct w:val="false"/>
                              <w:bidi w:val="0"/>
                              <w:rPr/>
                            </w:pPr>
                            <w:r>
                              <w:rPr>
                                <w:rFonts w:ascii="Times New Roman" w:hAnsi="Times New Roman" w:eastAsia="Times New Roman" w:cs="Times New Roman"/>
                                <w:color w:val="auto"/>
                                <w:kern w:val="2"/>
                                <w:sz w:val="20"/>
                                <w:szCs w:val="20"/>
                                <w:lang w:val="bg-BG" w:bidi="ar-SA"/>
                              </w:rPr>
                              <w:t>технически спецификации</w:t>
                            </w:r>
                          </w:p>
                          <w:p>
                            <w:pPr>
                              <w:overflowPunct w:val="false"/>
                              <w:bidi w:val="0"/>
                              <w:rPr/>
                            </w:pPr>
                            <w:r>
                              <w:rPr>
                                <w:rFonts w:ascii="Liberation Serif" w:hAnsi="Liberation Serif" w:eastAsia="NSimSun" w:cs="Arial"/>
                                <w:kern w:val="2"/>
                                <w:sz w:val="24"/>
                                <w:szCs w:val="24"/>
                                <w:lang w:val="bg-BG" w:bidi="hi-IN"/>
                              </w:rPr>
                            </w:r>
                          </w:p>
                          <w:p>
                            <w:pPr>
                              <w:overflowPunct w:val="false"/>
                              <w:bidi w:val="0"/>
                              <w:rPr/>
                            </w:pPr>
                            <w:r>
                              <w:rPr>
                                <w:rFonts w:ascii="Times New Roman" w:hAnsi="Times New Roman" w:eastAsia="Times New Roman" w:cs="Times New Roman"/>
                                <w:color w:val="auto"/>
                                <w:kern w:val="2"/>
                                <w:sz w:val="20"/>
                                <w:szCs w:val="20"/>
                                <w:lang w:val="bg-BG" w:bidi="ar-SA"/>
                              </w:rPr>
                              <w:t>данни от проверки;</w:t>
                            </w:r>
                          </w:p>
                          <w:p>
                            <w:pPr>
                              <w:overflowPunct w:val="false"/>
                              <w:bidi w:val="0"/>
                              <w:rPr/>
                            </w:pPr>
                            <w:r>
                              <w:rPr>
                                <w:rFonts w:ascii="Times New Roman" w:hAnsi="Times New Roman" w:eastAsia="Times New Roman" w:cs="Times New Roman"/>
                                <w:color w:val="auto"/>
                                <w:kern w:val="2"/>
                                <w:sz w:val="20"/>
                                <w:szCs w:val="20"/>
                                <w:lang w:val="bg-BG" w:bidi="ar-SA"/>
                              </w:rPr>
                              <w:t>отчети от предишен одит</w:t>
                            </w:r>
                          </w:p>
                        </w:txbxContent>
                      </wps:txbx>
                      <wps:bodyPr lIns="17640" tIns="10800" rIns="17640" bIns="10800" anchor="t">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3pt;margin-top:4.35pt;width:132.95pt;height:152.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en-US" w:bidi="ar-SA"/>
                        </w:rPr>
                        <w:t>Изисквания на:</w:t>
                      </w:r>
                    </w:p>
                    <w:p>
                      <w:pPr>
                        <w:overflowPunct w:val="false"/>
                        <w:bidi w:val="0"/>
                        <w:rPr/>
                      </w:pPr>
                      <w:r>
                        <w:rPr>
                          <w:rFonts w:ascii="Times New Roman" w:hAnsi="Times New Roman" w:eastAsia="Times New Roman" w:cs="Times New Roman"/>
                          <w:color w:val="auto"/>
                          <w:kern w:val="2"/>
                          <w:sz w:val="20"/>
                          <w:szCs w:val="20"/>
                          <w:lang w:val="bg-BG" w:bidi="ar-SA"/>
                        </w:rPr>
                        <w:t>процедури по качеството;</w:t>
                      </w:r>
                    </w:p>
                    <w:p>
                      <w:pPr>
                        <w:overflowPunct w:val="false"/>
                        <w:bidi w:val="0"/>
                        <w:rPr/>
                      </w:pPr>
                      <w:r>
                        <w:rPr>
                          <w:rFonts w:ascii="Times New Roman" w:hAnsi="Times New Roman" w:eastAsia="Times New Roman" w:cs="Times New Roman"/>
                          <w:color w:val="auto"/>
                          <w:kern w:val="2"/>
                          <w:sz w:val="20"/>
                          <w:szCs w:val="20"/>
                          <w:lang w:val="bg-BG" w:bidi="ar-SA"/>
                        </w:rPr>
                        <w:t>работни инструкции;</w:t>
                      </w:r>
                    </w:p>
                    <w:p>
                      <w:pPr>
                        <w:overflowPunct w:val="false"/>
                        <w:bidi w:val="0"/>
                        <w:rPr/>
                      </w:pPr>
                      <w:r>
                        <w:rPr>
                          <w:rFonts w:ascii="Times New Roman" w:hAnsi="Times New Roman" w:eastAsia="Times New Roman" w:cs="Times New Roman"/>
                          <w:color w:val="auto"/>
                          <w:kern w:val="2"/>
                          <w:sz w:val="20"/>
                          <w:szCs w:val="20"/>
                          <w:lang w:val="bg-BG" w:bidi="ar-SA"/>
                        </w:rPr>
                        <w:t>технически спецификации</w:t>
                      </w:r>
                    </w:p>
                    <w:p>
                      <w:pPr>
                        <w:overflowPunct w:val="false"/>
                        <w:bidi w:val="0"/>
                        <w:rPr/>
                      </w:pPr>
                      <w:r>
                        <w:rPr>
                          <w:rFonts w:ascii="Liberation Serif" w:hAnsi="Liberation Serif" w:eastAsia="NSimSun" w:cs="Arial"/>
                          <w:kern w:val="2"/>
                          <w:sz w:val="24"/>
                          <w:szCs w:val="24"/>
                          <w:lang w:val="bg-BG" w:bidi="hi-IN"/>
                        </w:rPr>
                      </w:r>
                    </w:p>
                    <w:p>
                      <w:pPr>
                        <w:overflowPunct w:val="false"/>
                        <w:bidi w:val="0"/>
                        <w:rPr/>
                      </w:pPr>
                      <w:r>
                        <w:rPr>
                          <w:rFonts w:ascii="Times New Roman" w:hAnsi="Times New Roman" w:eastAsia="Times New Roman" w:cs="Times New Roman"/>
                          <w:color w:val="auto"/>
                          <w:kern w:val="2"/>
                          <w:sz w:val="20"/>
                          <w:szCs w:val="20"/>
                          <w:lang w:val="bg-BG" w:bidi="ar-SA"/>
                        </w:rPr>
                        <w:t>данни от проверки;</w:t>
                      </w:r>
                    </w:p>
                    <w:p>
                      <w:pPr>
                        <w:overflowPunct w:val="false"/>
                        <w:bidi w:val="0"/>
                        <w:rPr/>
                      </w:pPr>
                      <w:r>
                        <w:rPr>
                          <w:rFonts w:ascii="Times New Roman" w:hAnsi="Times New Roman" w:eastAsia="Times New Roman" w:cs="Times New Roman"/>
                          <w:color w:val="auto"/>
                          <w:kern w:val="2"/>
                          <w:sz w:val="20"/>
                          <w:szCs w:val="20"/>
                          <w:lang w:val="bg-BG" w:bidi="ar-SA"/>
                        </w:rPr>
                        <w:t>отчети от предишен одит</w:t>
                      </w:r>
                    </w:p>
                  </w:txbxContent>
                </v:textbox>
                <v:fill o:detectmouseclick="t" type="solid" color2="black"/>
                <v:stroke color="black" weight="19080" joinstyle="miter" endcap="flat"/>
                <v:shadow on="t" obscured="f" color="gray"/>
                <w10:wrap type="none"/>
              </v:shape>
            </w:pict>
          </mc:Fallback>
        </mc:AlternateContent>
        <mc:AlternateContent>
          <mc:Choice Requires="wps">
            <w:drawing>
              <wp:anchor distT="0" distB="0" distL="114935" distR="114935" simplePos="0" relativeHeight="4" behindDoc="0" locked="0" layoutInCell="1" allowOverlap="1">
                <wp:simplePos x="0" y="0"/>
                <wp:positionH relativeFrom="column">
                  <wp:posOffset>4435475</wp:posOffset>
                </wp:positionH>
                <wp:positionV relativeFrom="paragraph">
                  <wp:posOffset>290195</wp:posOffset>
                </wp:positionV>
                <wp:extent cx="1727200" cy="1467485"/>
                <wp:effectExtent l="9525" t="10795" r="88265" b="85725"/>
                <wp:wrapNone/>
                <wp:docPr id="2" name=""/>
                <a:graphic xmlns:a="http://schemas.openxmlformats.org/drawingml/2006/main">
                  <a:graphicData uri="http://schemas.microsoft.com/office/word/2010/wordprocessingShape">
                    <wps:wsp>
                      <wps:cNvSpPr/>
                      <wps:spPr>
                        <a:xfrm>
                          <a:off x="0" y="0"/>
                          <a:ext cx="1727280" cy="1467360"/>
                        </a:xfrm>
                        <a:custGeom>
                          <a:avLst/>
                          <a:gdLst>
                            <a:gd name="textAreaLeft" fmla="*/ 0 w 979200"/>
                            <a:gd name="textAreaRight" fmla="*/ 979560 w 979200"/>
                            <a:gd name="textAreaTop" fmla="*/ 0 h 831960"/>
                            <a:gd name="textAreaBottom" fmla="*/ 832320 h 83196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 xml:space="preserve">основание за коригиращи/ превантивни </w:t>
                            </w:r>
                          </w:p>
                          <w:p>
                            <w:pPr>
                              <w:overflowPunct w:val="false"/>
                              <w:bidi w:val="0"/>
                              <w:rPr/>
                            </w:pPr>
                            <w:r>
                              <w:rPr>
                                <w:rFonts w:ascii="Times New Roman" w:hAnsi="Times New Roman" w:eastAsia="Times New Roman" w:cs="Times New Roman"/>
                                <w:color w:val="auto"/>
                                <w:kern w:val="2"/>
                                <w:sz w:val="20"/>
                                <w:szCs w:val="20"/>
                                <w:lang w:val="bg-BG" w:bidi="ar-SA"/>
                              </w:rPr>
                              <w:t>действия;</w:t>
                            </w:r>
                          </w:p>
                          <w:p>
                            <w:pPr>
                              <w:overflowPunct w:val="false"/>
                              <w:bidi w:val="0"/>
                              <w:rPr/>
                            </w:pPr>
                            <w:r>
                              <w:rPr>
                                <w:rFonts w:ascii="Times New Roman" w:hAnsi="Times New Roman" w:eastAsia="Times New Roman" w:cs="Times New Roman"/>
                                <w:color w:val="auto"/>
                                <w:kern w:val="2"/>
                                <w:sz w:val="20"/>
                                <w:szCs w:val="20"/>
                                <w:lang w:val="bg-BG" w:bidi="ar-SA"/>
                              </w:rPr>
                              <w:t>основание за последващ одит;</w:t>
                            </w:r>
                          </w:p>
                          <w:p>
                            <w:pPr>
                              <w:overflowPunct w:val="false"/>
                              <w:bidi w:val="0"/>
                              <w:rPr/>
                            </w:pPr>
                            <w:r>
                              <w:rPr>
                                <w:rFonts w:ascii="Times New Roman" w:hAnsi="Times New Roman" w:eastAsia="Times New Roman" w:cs="Times New Roman"/>
                                <w:color w:val="auto"/>
                                <w:kern w:val="2"/>
                                <w:sz w:val="20"/>
                                <w:szCs w:val="20"/>
                                <w:lang w:val="bg-BG" w:bidi="ar-SA"/>
                              </w:rPr>
                              <w:t>информация за преглед от ръководството.</w:t>
                            </w:r>
                          </w:p>
                          <w:p>
                            <w:pPr>
                              <w:overflowPunct w:val="false"/>
                              <w:bidi w:val="0"/>
                              <w:rPr/>
                            </w:pPr>
                            <w:r>
                              <w:rPr>
                                <w:rFonts w:eastAsia="NSimSun" w:ascii="Liberation Serif" w:hAnsi="Liberation Serif" w:cs="Arial"/>
                                <w:kern w:val="2"/>
                                <w:sz w:val="24"/>
                                <w:szCs w:val="24"/>
                                <w:lang w:val="bg-BG" w:bidi="hi-IN"/>
                              </w:rPr>
                            </w:r>
                          </w:p>
                        </w:txbxContent>
                      </wps:txbx>
                      <wps:bodyPr lIns="17640" tIns="10800" rIns="17640" bIns="10800" anchor="t">
                        <a:noAutofit/>
                      </wps:bodyPr>
                    </wps:wsp>
                  </a:graphicData>
                </a:graphic>
              </wp:anchor>
            </w:drawing>
          </mc:Choice>
          <mc:Fallback>
            <w:pict>
              <v:shape id="shape_0" fillcolor="white" stroked="t" o:allowincell="f" style="position:absolute;margin-left:349.25pt;margin-top:22.85pt;width:135.95pt;height:115.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 xml:space="preserve">основание за коригиращи/ превантивни </w:t>
                      </w:r>
                    </w:p>
                    <w:p>
                      <w:pPr>
                        <w:overflowPunct w:val="false"/>
                        <w:bidi w:val="0"/>
                        <w:rPr/>
                      </w:pPr>
                      <w:r>
                        <w:rPr>
                          <w:rFonts w:ascii="Times New Roman" w:hAnsi="Times New Roman" w:eastAsia="Times New Roman" w:cs="Times New Roman"/>
                          <w:color w:val="auto"/>
                          <w:kern w:val="2"/>
                          <w:sz w:val="20"/>
                          <w:szCs w:val="20"/>
                          <w:lang w:val="bg-BG" w:bidi="ar-SA"/>
                        </w:rPr>
                        <w:t>действия;</w:t>
                      </w:r>
                    </w:p>
                    <w:p>
                      <w:pPr>
                        <w:overflowPunct w:val="false"/>
                        <w:bidi w:val="0"/>
                        <w:rPr/>
                      </w:pPr>
                      <w:r>
                        <w:rPr>
                          <w:rFonts w:ascii="Times New Roman" w:hAnsi="Times New Roman" w:eastAsia="Times New Roman" w:cs="Times New Roman"/>
                          <w:color w:val="auto"/>
                          <w:kern w:val="2"/>
                          <w:sz w:val="20"/>
                          <w:szCs w:val="20"/>
                          <w:lang w:val="bg-BG" w:bidi="ar-SA"/>
                        </w:rPr>
                        <w:t>основание за последващ одит;</w:t>
                      </w:r>
                    </w:p>
                    <w:p>
                      <w:pPr>
                        <w:overflowPunct w:val="false"/>
                        <w:bidi w:val="0"/>
                        <w:rPr/>
                      </w:pPr>
                      <w:r>
                        <w:rPr>
                          <w:rFonts w:ascii="Times New Roman" w:hAnsi="Times New Roman" w:eastAsia="Times New Roman" w:cs="Times New Roman"/>
                          <w:color w:val="auto"/>
                          <w:kern w:val="2"/>
                          <w:sz w:val="20"/>
                          <w:szCs w:val="20"/>
                          <w:lang w:val="bg-BG" w:bidi="ar-SA"/>
                        </w:rPr>
                        <w:t>информация за преглед от ръководството.</w:t>
                      </w:r>
                    </w:p>
                    <w:p>
                      <w:pPr>
                        <w:overflowPunct w:val="false"/>
                        <w:bidi w:val="0"/>
                        <w:rPr/>
                      </w:pPr>
                      <w:r>
                        <w:rPr>
                          <w:rFonts w:eastAsia="NSimSun" w:ascii="Liberation Serif" w:hAnsi="Liberation Serif" w:cs="Arial"/>
                          <w:kern w:val="2"/>
                          <w:sz w:val="24"/>
                          <w:szCs w:val="24"/>
                          <w:lang w:val="bg-BG" w:bidi="hi-IN"/>
                        </w:rPr>
                      </w:r>
                    </w:p>
                  </w:txbxContent>
                </v:textbox>
                <v:fill o:detectmouseclick="t" type="solid" color2="black"/>
                <v:stroke color="black" weight="19080" joinstyle="miter" endcap="flat"/>
                <v:shadow on="t" obscured="f" color="gray"/>
                <w10:wrap type="none"/>
              </v:shape>
            </w:pict>
          </mc:Fallback>
        </mc:AlternateContent>
      </w:r>
      <w:r>
        <mc:AlternateContent>
          <mc:Choice Requires="wps">
            <w:drawing>
              <wp:anchor distT="0" distB="0" distL="114935" distR="114935" simplePos="0" relativeHeight="3" behindDoc="0" locked="0" layoutInCell="1" allowOverlap="1">
                <wp:simplePos x="0" y="0"/>
                <wp:positionH relativeFrom="column">
                  <wp:posOffset>1835150</wp:posOffset>
                </wp:positionH>
                <wp:positionV relativeFrom="paragraph">
                  <wp:posOffset>6350</wp:posOffset>
                </wp:positionV>
                <wp:extent cx="2317750" cy="1959610"/>
                <wp:effectExtent l="0" t="0" r="76200" b="76200"/>
                <wp:wrapNone/>
                <wp:docPr id="3" name="Рамка1"/>
                <a:graphic xmlns:a="http://schemas.openxmlformats.org/drawingml/2006/main">
                  <a:graphicData uri="http://schemas.microsoft.com/office/word/2010/wordprocessingShape">
                    <wps:wsp>
                      <wps:cNvSpPr txBox="1"/>
                      <wps:spPr>
                        <a:xfrm>
                          <a:off x="0" y="0"/>
                          <a:ext cx="2393950" cy="2035810"/>
                        </a:xfrm>
                        <a:prstGeom prst="rect"/>
                        <a:solidFill>
                          <a:srgbClr val="FFFFFF"/>
                        </a:solidFill>
                        <a:ln w="19050">
                          <a:solidFill>
                            <a:srgbClr val="000000"/>
                          </a:solidFill>
                        </a:ln>
                        <a:effectLst>
                          <a:outerShdw dist="107315" dir="2700000">
                            <a:srgbClr val="808080"/>
                          </a:outerShdw>
                        </a:effectLst>
                      </wps:spPr>
                      <wps:txbx>
                        <w:txbxContent>
                          <w:p>
                            <w:pPr>
                              <w:pStyle w:val="Normal"/>
                              <w:widowControl/>
                              <w:numPr>
                                <w:ilvl w:val="0"/>
                                <w:numId w:val="10"/>
                              </w:numPr>
                              <w:rPr>
                                <w:lang w:val="bg-BG"/>
                              </w:rPr>
                            </w:pPr>
                            <w:r>
                              <w:rPr>
                                <w:lang w:val="bg-BG"/>
                              </w:rPr>
                              <w:t>създаване на годишна програма за одити;</w:t>
                            </w:r>
                          </w:p>
                          <w:p>
                            <w:pPr>
                              <w:pStyle w:val="Normal"/>
                              <w:widowControl/>
                              <w:numPr>
                                <w:ilvl w:val="0"/>
                                <w:numId w:val="10"/>
                              </w:numPr>
                              <w:rPr>
                                <w:lang w:val="bg-BG"/>
                              </w:rPr>
                            </w:pPr>
                            <w:r>
                              <w:rPr>
                                <w:lang w:val="bg-BG"/>
                              </w:rPr>
                              <w:t>определяне на одиторски екип;</w:t>
                            </w:r>
                          </w:p>
                          <w:p>
                            <w:pPr>
                              <w:pStyle w:val="Normal"/>
                              <w:widowControl/>
                              <w:numPr>
                                <w:ilvl w:val="0"/>
                                <w:numId w:val="10"/>
                              </w:numPr>
                              <w:rPr>
                                <w:lang w:val="bg-BG"/>
                              </w:rPr>
                            </w:pPr>
                            <w:r>
                              <w:rPr>
                                <w:lang w:val="bg-BG"/>
                              </w:rPr>
                              <w:t>планиране провеждането на одит;</w:t>
                            </w:r>
                          </w:p>
                          <w:p>
                            <w:pPr>
                              <w:pStyle w:val="Normal"/>
                              <w:widowControl/>
                              <w:numPr>
                                <w:ilvl w:val="0"/>
                                <w:numId w:val="10"/>
                              </w:numPr>
                              <w:rPr>
                                <w:lang w:val="bg-BG"/>
                              </w:rPr>
                            </w:pPr>
                            <w:r>
                              <w:rPr>
                                <w:lang w:val="bg-BG"/>
                              </w:rPr>
                              <w:t>провеждане на одит;</w:t>
                            </w:r>
                          </w:p>
                          <w:p>
                            <w:pPr>
                              <w:pStyle w:val="Normal"/>
                              <w:widowControl/>
                              <w:numPr>
                                <w:ilvl w:val="0"/>
                                <w:numId w:val="10"/>
                              </w:numPr>
                              <w:rPr>
                                <w:lang w:val="bg-BG"/>
                              </w:rPr>
                            </w:pPr>
                            <w:r>
                              <w:rPr>
                                <w:lang w:val="bg-BG"/>
                              </w:rPr>
                              <w:t>документиране на наблюденията;</w:t>
                            </w:r>
                          </w:p>
                          <w:p>
                            <w:pPr>
                              <w:pStyle w:val="Normal"/>
                              <w:widowControl/>
                              <w:numPr>
                                <w:ilvl w:val="0"/>
                                <w:numId w:val="10"/>
                              </w:numPr>
                              <w:rPr>
                                <w:lang w:val="bg-BG"/>
                              </w:rPr>
                            </w:pPr>
                            <w:r>
                              <w:rPr>
                                <w:lang w:val="bg-BG"/>
                              </w:rPr>
                              <w:t>определяне на коригиращи действия;</w:t>
                            </w:r>
                          </w:p>
                          <w:p>
                            <w:pPr>
                              <w:pStyle w:val="Normal"/>
                              <w:widowControl/>
                              <w:numPr>
                                <w:ilvl w:val="0"/>
                                <w:numId w:val="10"/>
                              </w:numPr>
                              <w:rPr>
                                <w:lang w:val="bg-BG"/>
                              </w:rPr>
                            </w:pPr>
                            <w:r>
                              <w:rPr>
                                <w:lang w:val="bg-BG"/>
                              </w:rPr>
                              <w:t>докладване на заключенията (наблюденията) от одита;</w:t>
                            </w:r>
                          </w:p>
                          <w:p>
                            <w:pPr>
                              <w:pStyle w:val="Normal"/>
                              <w:widowControl/>
                              <w:numPr>
                                <w:ilvl w:val="0"/>
                                <w:numId w:val="10"/>
                              </w:numPr>
                              <w:rPr>
                                <w:lang w:val="bg-BG"/>
                              </w:rPr>
                            </w:pPr>
                            <w:r>
                              <w:rPr>
                                <w:lang w:val="bg-BG"/>
                              </w:rPr>
                              <w:t>преглед на предприетите коригиращи/превантивни действия.</w:t>
                            </w:r>
                          </w:p>
                          <w:p>
                            <w:pPr>
                              <w:pStyle w:val="Normal"/>
                              <w:rPr>
                                <w:lang w:val="bg-BG"/>
                              </w:rPr>
                            </w:pPr>
                            <w:r>
                              <w:rPr>
                                <w:lang w:val="bg-BG"/>
                              </w:rPr>
                            </w:r>
                          </w:p>
                        </w:txbxContent>
                      </wps:txbx>
                      <wps:bodyPr anchor="t" lIns="91440" tIns="45720" rIns="91440" bIns="45720">
                        <a:noAutofit/>
                      </wps:bodyPr>
                    </wps:wsp>
                  </a:graphicData>
                </a:graphic>
              </wp:anchor>
            </w:drawing>
          </mc:Choice>
          <mc:Fallback>
            <w:pict>
              <v:rect fillcolor="#FFFFFF" strokecolor="#000000" strokeweight="1pt" style="position:absolute;rotation:-0;width:188.5pt;height:160.3pt;mso-wrap-distance-left:9.05pt;mso-wrap-distance-right:9.05pt;mso-wrap-distance-top:0pt;mso-wrap-distance-bottom:0pt;margin-top:0.5pt;mso-position-vertical-relative:text;margin-left:144.5pt;mso-position-horizontal-relative:text">
                <v:shadow on="t" color="#808080" offset="6pt,6pt"/>
                <v:textbox>
                  <w:txbxContent>
                    <w:p>
                      <w:pPr>
                        <w:pStyle w:val="Normal"/>
                        <w:widowControl/>
                        <w:numPr>
                          <w:ilvl w:val="0"/>
                          <w:numId w:val="10"/>
                        </w:numPr>
                        <w:rPr>
                          <w:lang w:val="bg-BG"/>
                        </w:rPr>
                      </w:pPr>
                      <w:r>
                        <w:rPr>
                          <w:lang w:val="bg-BG"/>
                        </w:rPr>
                        <w:t>създаване на годишна програма за одити;</w:t>
                      </w:r>
                    </w:p>
                    <w:p>
                      <w:pPr>
                        <w:pStyle w:val="Normal"/>
                        <w:widowControl/>
                        <w:numPr>
                          <w:ilvl w:val="0"/>
                          <w:numId w:val="10"/>
                        </w:numPr>
                        <w:rPr>
                          <w:lang w:val="bg-BG"/>
                        </w:rPr>
                      </w:pPr>
                      <w:r>
                        <w:rPr>
                          <w:lang w:val="bg-BG"/>
                        </w:rPr>
                        <w:t>определяне на одиторски екип;</w:t>
                      </w:r>
                    </w:p>
                    <w:p>
                      <w:pPr>
                        <w:pStyle w:val="Normal"/>
                        <w:widowControl/>
                        <w:numPr>
                          <w:ilvl w:val="0"/>
                          <w:numId w:val="10"/>
                        </w:numPr>
                        <w:rPr>
                          <w:lang w:val="bg-BG"/>
                        </w:rPr>
                      </w:pPr>
                      <w:r>
                        <w:rPr>
                          <w:lang w:val="bg-BG"/>
                        </w:rPr>
                        <w:t>планиране провеждането на одит;</w:t>
                      </w:r>
                    </w:p>
                    <w:p>
                      <w:pPr>
                        <w:pStyle w:val="Normal"/>
                        <w:widowControl/>
                        <w:numPr>
                          <w:ilvl w:val="0"/>
                          <w:numId w:val="10"/>
                        </w:numPr>
                        <w:rPr>
                          <w:lang w:val="bg-BG"/>
                        </w:rPr>
                      </w:pPr>
                      <w:r>
                        <w:rPr>
                          <w:lang w:val="bg-BG"/>
                        </w:rPr>
                        <w:t>провеждане на одит;</w:t>
                      </w:r>
                    </w:p>
                    <w:p>
                      <w:pPr>
                        <w:pStyle w:val="Normal"/>
                        <w:widowControl/>
                        <w:numPr>
                          <w:ilvl w:val="0"/>
                          <w:numId w:val="10"/>
                        </w:numPr>
                        <w:rPr>
                          <w:lang w:val="bg-BG"/>
                        </w:rPr>
                      </w:pPr>
                      <w:r>
                        <w:rPr>
                          <w:lang w:val="bg-BG"/>
                        </w:rPr>
                        <w:t>документиране на наблюденията;</w:t>
                      </w:r>
                    </w:p>
                    <w:p>
                      <w:pPr>
                        <w:pStyle w:val="Normal"/>
                        <w:widowControl/>
                        <w:numPr>
                          <w:ilvl w:val="0"/>
                          <w:numId w:val="10"/>
                        </w:numPr>
                        <w:rPr>
                          <w:lang w:val="bg-BG"/>
                        </w:rPr>
                      </w:pPr>
                      <w:r>
                        <w:rPr>
                          <w:lang w:val="bg-BG"/>
                        </w:rPr>
                        <w:t>определяне на коригиращи действия;</w:t>
                      </w:r>
                    </w:p>
                    <w:p>
                      <w:pPr>
                        <w:pStyle w:val="Normal"/>
                        <w:widowControl/>
                        <w:numPr>
                          <w:ilvl w:val="0"/>
                          <w:numId w:val="10"/>
                        </w:numPr>
                        <w:rPr>
                          <w:lang w:val="bg-BG"/>
                        </w:rPr>
                      </w:pPr>
                      <w:r>
                        <w:rPr>
                          <w:lang w:val="bg-BG"/>
                        </w:rPr>
                        <w:t>докладване на заключенията (наблюденията) от одита;</w:t>
                      </w:r>
                    </w:p>
                    <w:p>
                      <w:pPr>
                        <w:pStyle w:val="Normal"/>
                        <w:widowControl/>
                        <w:numPr>
                          <w:ilvl w:val="0"/>
                          <w:numId w:val="10"/>
                        </w:numPr>
                        <w:rPr>
                          <w:lang w:val="bg-BG"/>
                        </w:rPr>
                      </w:pPr>
                      <w:r>
                        <w:rPr>
                          <w:lang w:val="bg-BG"/>
                        </w:rPr>
                        <w:t>преглед на предприетите коригиращи/превантивни действия.</w:t>
                      </w:r>
                    </w:p>
                    <w:p>
                      <w:pPr>
                        <w:pStyle w:val="Normal"/>
                        <w:rPr>
                          <w:lang w:val="bg-BG"/>
                        </w:rPr>
                      </w:pPr>
                      <w:r>
                        <w:rPr>
                          <w:lang w:val="bg-BG"/>
                        </w:rPr>
                      </w:r>
                    </w:p>
                  </w:txbxContent>
                </v:textbox>
                <w10:wrap type="none"/>
              </v:rect>
            </w:pict>
          </mc:Fallback>
        </mc:AlternateConten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 xml:space="preserve">3. ОТГОВОРНОСТИ ЗА ИЗВЪРШВАНЕ НА ПРОЦЕСА  </w:t>
      </w:r>
    </w:p>
    <w:p>
      <w:pPr>
        <w:pStyle w:val="Normal"/>
        <w:widowControl/>
        <w:jc w:val="both"/>
        <w:rPr/>
      </w:pPr>
      <w:r>
        <w:rPr>
          <w:b/>
          <w:bCs/>
          <w:sz w:val="24"/>
          <w:lang w:val="bg-BG"/>
        </w:rPr>
        <w:t>Мениджърът по управление:</w:t>
      </w:r>
    </w:p>
    <w:p>
      <w:pPr>
        <w:pStyle w:val="Normal"/>
        <w:widowControl/>
        <w:numPr>
          <w:ilvl w:val="0"/>
          <w:numId w:val="15"/>
        </w:numPr>
        <w:rPr>
          <w:sz w:val="24"/>
          <w:lang w:val="bg-BG"/>
        </w:rPr>
      </w:pPr>
      <w:r>
        <w:rPr>
          <w:sz w:val="24"/>
          <w:lang w:val="bg-BG"/>
        </w:rPr>
        <w:t>подпомага екипа на вътрешните одитори;</w:t>
      </w:r>
    </w:p>
    <w:p>
      <w:pPr>
        <w:pStyle w:val="Normal"/>
        <w:widowControl/>
        <w:numPr>
          <w:ilvl w:val="0"/>
          <w:numId w:val="15"/>
        </w:numPr>
        <w:jc w:val="both"/>
        <w:rPr>
          <w:sz w:val="24"/>
          <w:lang w:val="bg-BG"/>
        </w:rPr>
      </w:pPr>
      <w:r>
        <w:rPr>
          <w:sz w:val="24"/>
          <w:lang w:val="bg-BG"/>
        </w:rPr>
        <w:t>преглежда резултатите от проведените вътрешни одити.</w:t>
      </w:r>
    </w:p>
    <w:p>
      <w:pPr>
        <w:pStyle w:val="Normal"/>
        <w:widowControl/>
        <w:numPr>
          <w:ilvl w:val="0"/>
          <w:numId w:val="9"/>
        </w:numPr>
        <w:rPr>
          <w:b/>
          <w:sz w:val="24"/>
          <w:lang w:val="bg-BG"/>
        </w:rPr>
      </w:pPr>
      <w:r>
        <w:rPr>
          <w:sz w:val="24"/>
          <w:lang w:val="bg-BG"/>
        </w:rPr>
        <w:t>участва в процеса на одитиране;</w:t>
      </w:r>
    </w:p>
    <w:p>
      <w:pPr>
        <w:pStyle w:val="Normal"/>
        <w:widowControl/>
        <w:numPr>
          <w:ilvl w:val="0"/>
          <w:numId w:val="9"/>
        </w:numPr>
        <w:jc w:val="both"/>
        <w:rPr>
          <w:b/>
          <w:sz w:val="24"/>
          <w:lang w:val="bg-BG"/>
        </w:rPr>
      </w:pPr>
      <w:r>
        <w:rPr>
          <w:sz w:val="24"/>
          <w:lang w:val="bg-BG"/>
        </w:rPr>
        <w:t>осъществява контрол по спазване на процедурата за вътрешни одити.</w:t>
      </w:r>
    </w:p>
    <w:p>
      <w:pPr>
        <w:pStyle w:val="Normal"/>
        <w:widowControl/>
        <w:jc w:val="both"/>
        <w:rPr>
          <w:b/>
          <w:sz w:val="24"/>
          <w:lang w:val="bg-BG"/>
        </w:rPr>
      </w:pPr>
      <w:r>
        <w:rPr>
          <w:b/>
          <w:sz w:val="24"/>
          <w:lang w:val="bg-BG"/>
        </w:rPr>
      </w:r>
    </w:p>
    <w:p>
      <w:pPr>
        <w:pStyle w:val="Normal"/>
        <w:widowControl/>
        <w:rPr>
          <w:b/>
          <w:sz w:val="24"/>
          <w:lang w:val="bg-BG"/>
        </w:rPr>
      </w:pPr>
      <w:r>
        <w:rPr>
          <w:b/>
          <w:sz w:val="24"/>
          <w:lang w:val="bg-BG"/>
        </w:rPr>
        <w:t>Одиторите:</w:t>
      </w:r>
    </w:p>
    <w:p>
      <w:pPr>
        <w:pStyle w:val="Normal"/>
        <w:widowControl/>
        <w:numPr>
          <w:ilvl w:val="0"/>
          <w:numId w:val="13"/>
        </w:numPr>
        <w:jc w:val="both"/>
        <w:rPr>
          <w:sz w:val="24"/>
          <w:lang w:val="bg-BG"/>
        </w:rPr>
      </w:pPr>
      <w:r>
        <w:rPr>
          <w:sz w:val="24"/>
          <w:lang w:val="bg-BG"/>
        </w:rPr>
        <w:t>планират провеждането на вътрешни одити;</w:t>
      </w:r>
    </w:p>
    <w:p>
      <w:pPr>
        <w:pStyle w:val="Normal"/>
        <w:widowControl/>
        <w:numPr>
          <w:ilvl w:val="0"/>
          <w:numId w:val="13"/>
        </w:numPr>
        <w:jc w:val="both"/>
        <w:rPr>
          <w:sz w:val="24"/>
          <w:lang w:val="bg-BG"/>
        </w:rPr>
      </w:pPr>
      <w:r>
        <w:rPr>
          <w:sz w:val="24"/>
          <w:lang w:val="bg-BG"/>
        </w:rPr>
        <w:t>осъществяват безпристрастна оценка на дейностите;</w:t>
      </w:r>
    </w:p>
    <w:p>
      <w:pPr>
        <w:pStyle w:val="Normal"/>
        <w:widowControl/>
        <w:numPr>
          <w:ilvl w:val="0"/>
          <w:numId w:val="13"/>
        </w:numPr>
        <w:jc w:val="both"/>
        <w:rPr>
          <w:sz w:val="24"/>
          <w:lang w:val="bg-BG"/>
        </w:rPr>
      </w:pPr>
      <w:r>
        <w:rPr>
          <w:sz w:val="24"/>
          <w:lang w:val="bg-BG"/>
        </w:rPr>
        <w:t>документират и анализират резултатите от проведените одити.</w:t>
      </w:r>
    </w:p>
    <w:p>
      <w:pPr>
        <w:pStyle w:val="Normal"/>
        <w:widowControl/>
        <w:jc w:val="both"/>
        <w:rPr>
          <w:b/>
          <w:sz w:val="24"/>
          <w:lang w:val="bg-BG"/>
        </w:rPr>
      </w:pPr>
      <w:r>
        <w:rPr>
          <w:b/>
          <w:sz w:val="24"/>
          <w:lang w:val="bg-BG"/>
        </w:rPr>
      </w:r>
    </w:p>
    <w:p>
      <w:pPr>
        <w:pStyle w:val="Normal"/>
        <w:widowControl/>
        <w:jc w:val="both"/>
        <w:rPr>
          <w:b/>
          <w:sz w:val="24"/>
          <w:lang w:val="en-US"/>
        </w:rPr>
      </w:pPr>
      <w:r>
        <w:rPr>
          <w:b/>
          <w:sz w:val="24"/>
          <w:lang w:val="en-US"/>
        </w:rPr>
      </w:r>
    </w:p>
    <w:p>
      <w:pPr>
        <w:pStyle w:val="Normal"/>
        <w:widowControl/>
        <w:jc w:val="both"/>
        <w:rPr>
          <w:b/>
          <w:sz w:val="24"/>
          <w:lang w:val="bg-BG"/>
        </w:rPr>
      </w:pPr>
      <w:r>
        <w:rPr>
          <w:b/>
          <w:sz w:val="24"/>
          <w:lang w:val="bg-BG"/>
        </w:rPr>
        <w:t xml:space="preserve">4. ПОТРЕБИТЕЛ НА ПРОЦЕСА </w:t>
      </w:r>
    </w:p>
    <w:p>
      <w:pPr>
        <w:pStyle w:val="BodyText"/>
        <w:rPr/>
      </w:pPr>
      <w:r>
        <w:rPr/>
        <w:t>Потребители на процес “Вътрешни одити” са процесите за:</w:t>
      </w:r>
    </w:p>
    <w:p>
      <w:pPr>
        <w:pStyle w:val="Normal"/>
        <w:widowControl/>
        <w:numPr>
          <w:ilvl w:val="0"/>
          <w:numId w:val="8"/>
        </w:numPr>
        <w:jc w:val="both"/>
        <w:rPr>
          <w:sz w:val="24"/>
          <w:lang w:val="bg-BG"/>
        </w:rPr>
      </w:pPr>
      <w:r>
        <w:rPr>
          <w:sz w:val="24"/>
          <w:lang w:val="bg-BG"/>
        </w:rPr>
        <w:t>анализ на данни;</w:t>
      </w:r>
    </w:p>
    <w:p>
      <w:pPr>
        <w:pStyle w:val="Normal"/>
        <w:widowControl/>
        <w:numPr>
          <w:ilvl w:val="0"/>
          <w:numId w:val="8"/>
        </w:numPr>
        <w:jc w:val="both"/>
        <w:rPr>
          <w:sz w:val="24"/>
          <w:lang w:val="bg-BG"/>
        </w:rPr>
      </w:pPr>
      <w:r>
        <w:rPr>
          <w:sz w:val="24"/>
          <w:lang w:val="bg-BG"/>
        </w:rPr>
        <w:t>непрекъснато подобряване;</w:t>
      </w:r>
    </w:p>
    <w:p>
      <w:pPr>
        <w:pStyle w:val="Normal"/>
        <w:widowControl/>
        <w:numPr>
          <w:ilvl w:val="0"/>
          <w:numId w:val="8"/>
        </w:numPr>
        <w:jc w:val="both"/>
        <w:rPr>
          <w:sz w:val="24"/>
          <w:lang w:val="bg-BG"/>
        </w:rPr>
      </w:pPr>
      <w:r>
        <w:rPr>
          <w:sz w:val="24"/>
          <w:lang w:val="bg-BG"/>
        </w:rPr>
        <w:t>коригиращи/превантивни действия;</w:t>
      </w:r>
    </w:p>
    <w:p>
      <w:pPr>
        <w:pStyle w:val="Normal"/>
        <w:widowControl/>
        <w:numPr>
          <w:ilvl w:val="0"/>
          <w:numId w:val="8"/>
        </w:numPr>
        <w:jc w:val="both"/>
        <w:rPr>
          <w:sz w:val="24"/>
          <w:lang w:val="bg-BG"/>
        </w:rPr>
      </w:pPr>
      <w:r>
        <w:rPr>
          <w:sz w:val="24"/>
          <w:lang w:val="bg-BG"/>
        </w:rPr>
        <w:t>преглед от ръководството.</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5. КРИТЕРИИ ЗА ОЦЕНЯВАНЕ НА ПРОЦЕСА</w:t>
        <w:tab/>
      </w:r>
    </w:p>
    <w:p>
      <w:pPr>
        <w:pStyle w:val="BodyText"/>
        <w:rPr/>
      </w:pPr>
      <w:r>
        <w:rPr/>
        <w:t>За ефективното и ефикасно протичане на процеса можем да съдим по:</w:t>
      </w:r>
    </w:p>
    <w:p>
      <w:pPr>
        <w:pStyle w:val="Normal"/>
        <w:widowControl/>
        <w:numPr>
          <w:ilvl w:val="0"/>
          <w:numId w:val="14"/>
        </w:numPr>
        <w:jc w:val="both"/>
        <w:rPr>
          <w:sz w:val="24"/>
          <w:lang w:val="bg-BG"/>
        </w:rPr>
      </w:pPr>
      <w:r>
        <w:rPr>
          <w:sz w:val="24"/>
          <w:lang w:val="bg-BG"/>
        </w:rPr>
        <w:t>изпълнение на Програмата за вътрешни одити;</w:t>
      </w:r>
    </w:p>
    <w:p>
      <w:pPr>
        <w:pStyle w:val="Normal"/>
        <w:widowControl/>
        <w:numPr>
          <w:ilvl w:val="0"/>
          <w:numId w:val="14"/>
        </w:numPr>
        <w:jc w:val="both"/>
        <w:rPr>
          <w:sz w:val="24"/>
          <w:lang w:val="bg-BG"/>
        </w:rPr>
      </w:pPr>
      <w:r>
        <w:rPr>
          <w:sz w:val="24"/>
          <w:lang w:val="bg-BG"/>
        </w:rPr>
        <w:t>наличие на записите, изисквани от процедурата.</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6. ТЕРМИНИ И ОПРЕДЕЛЕНИЯ</w:t>
      </w:r>
    </w:p>
    <w:p>
      <w:pPr>
        <w:pStyle w:val="Normal"/>
        <w:widowControl/>
        <w:numPr>
          <w:ilvl w:val="0"/>
          <w:numId w:val="4"/>
        </w:numPr>
        <w:jc w:val="both"/>
        <w:rPr>
          <w:sz w:val="24"/>
          <w:lang w:val="bg-BG"/>
        </w:rPr>
      </w:pPr>
      <w:r>
        <w:rPr>
          <w:b/>
          <w:sz w:val="24"/>
          <w:lang w:val="bg-BG"/>
        </w:rPr>
        <w:t xml:space="preserve">Одит </w:t>
      </w:r>
      <w:r>
        <w:rPr>
          <w:sz w:val="24"/>
          <w:lang w:val="bg-BG"/>
        </w:rPr>
        <w:t>- систематичен, независим и документиран процес за получаване на доказателства за съответствие между документираната Система за управление на качеството, изискванията на стандарта и практиката във фирмата;</w:t>
      </w:r>
    </w:p>
    <w:p>
      <w:pPr>
        <w:pStyle w:val="Normal"/>
        <w:widowControl/>
        <w:numPr>
          <w:ilvl w:val="0"/>
          <w:numId w:val="4"/>
        </w:numPr>
        <w:jc w:val="both"/>
        <w:rPr>
          <w:sz w:val="24"/>
          <w:lang w:val="bg-BG"/>
        </w:rPr>
      </w:pPr>
      <w:r>
        <w:rPr>
          <w:b/>
          <w:sz w:val="24"/>
          <w:lang w:val="bg-BG"/>
        </w:rPr>
        <w:t>Програма за одити</w:t>
      </w:r>
      <w:r>
        <w:rPr>
          <w:sz w:val="24"/>
          <w:lang w:val="bg-BG"/>
        </w:rPr>
        <w:t xml:space="preserve"> - планирани за определен период от време одити;</w:t>
      </w:r>
    </w:p>
    <w:p>
      <w:pPr>
        <w:pStyle w:val="Normal"/>
        <w:widowControl/>
        <w:numPr>
          <w:ilvl w:val="0"/>
          <w:numId w:val="4"/>
        </w:numPr>
        <w:jc w:val="both"/>
        <w:rPr>
          <w:sz w:val="24"/>
          <w:lang w:val="bg-BG"/>
        </w:rPr>
      </w:pPr>
      <w:r>
        <w:rPr>
          <w:b/>
          <w:sz w:val="24"/>
          <w:lang w:val="bg-BG"/>
        </w:rPr>
        <w:t>Критерии за одит</w:t>
      </w:r>
      <w:r>
        <w:rPr>
          <w:sz w:val="24"/>
          <w:lang w:val="bg-BG"/>
        </w:rPr>
        <w:t xml:space="preserve"> - съвкупност от политики, процедури или изисквания, използвани за съпоставка;</w:t>
      </w:r>
    </w:p>
    <w:p>
      <w:pPr>
        <w:pStyle w:val="Normal"/>
        <w:widowControl/>
        <w:numPr>
          <w:ilvl w:val="0"/>
          <w:numId w:val="4"/>
        </w:numPr>
        <w:jc w:val="both"/>
        <w:rPr>
          <w:sz w:val="24"/>
          <w:lang w:val="bg-BG"/>
        </w:rPr>
      </w:pPr>
      <w:r>
        <w:rPr>
          <w:b/>
          <w:sz w:val="24"/>
          <w:lang w:val="bg-BG"/>
        </w:rPr>
        <w:t>Доказателства от одит</w:t>
      </w:r>
      <w:r>
        <w:rPr>
          <w:sz w:val="24"/>
          <w:lang w:val="bg-BG"/>
        </w:rPr>
        <w:t xml:space="preserve"> - записи, изявления за факт или друга информация, свързана с критериите за одит, която може да бъде проверена; </w:t>
      </w:r>
    </w:p>
    <w:p>
      <w:pPr>
        <w:pStyle w:val="Normal"/>
        <w:widowControl/>
        <w:numPr>
          <w:ilvl w:val="0"/>
          <w:numId w:val="4"/>
        </w:numPr>
        <w:jc w:val="both"/>
        <w:rPr>
          <w:sz w:val="24"/>
          <w:lang w:val="bg-BG"/>
        </w:rPr>
      </w:pPr>
      <w:r>
        <w:rPr>
          <w:b/>
          <w:sz w:val="24"/>
          <w:lang w:val="bg-BG"/>
        </w:rPr>
        <w:t>Заключения от одит</w:t>
      </w:r>
      <w:r>
        <w:rPr>
          <w:sz w:val="24"/>
          <w:lang w:val="bg-BG"/>
        </w:rPr>
        <w:t xml:space="preserve"> - резултати от оценката на набраните доказателства от одит чрез критериите за одита; </w:t>
      </w:r>
    </w:p>
    <w:p>
      <w:pPr>
        <w:pStyle w:val="Normal"/>
        <w:widowControl/>
        <w:numPr>
          <w:ilvl w:val="0"/>
          <w:numId w:val="4"/>
        </w:numPr>
        <w:jc w:val="both"/>
        <w:rPr>
          <w:sz w:val="24"/>
          <w:lang w:val="bg-BG"/>
        </w:rPr>
      </w:pPr>
      <w:r>
        <w:rPr>
          <w:b/>
          <w:sz w:val="24"/>
          <w:lang w:val="bg-BG"/>
        </w:rPr>
        <w:t>Изводи от одит</w:t>
      </w:r>
      <w:r>
        <w:rPr>
          <w:sz w:val="24"/>
          <w:lang w:val="bg-BG"/>
        </w:rPr>
        <w:t xml:space="preserve"> - резултати от одит, до които е стигнал екипът за одит след разглеждане на целите на одита и всички заключения от одита.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7. ПРОЦЕДУРА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7.1. Създаване на годишен план за одити</w:t>
      </w:r>
    </w:p>
    <w:p>
      <w:pPr>
        <w:pStyle w:val="Normal"/>
        <w:widowControl/>
        <w:jc w:val="both"/>
        <w:rPr/>
      </w:pPr>
      <w:r>
        <w:rPr>
          <w:sz w:val="24"/>
          <w:lang w:val="bg-BG"/>
        </w:rPr>
        <w:t xml:space="preserve">Мениджърът по управление изготвя „Годишен план за провеждане на вътрешни одити ” (OD 09.02.00-1), която се утвърждава от Управителя. В плана се залагат проверки за </w:t>
      </w:r>
      <w:r>
        <w:rPr>
          <w:bCs/>
          <w:sz w:val="24"/>
          <w:lang w:val="bg-BG"/>
        </w:rPr>
        <w:t>определяне съответствието на определените и документирани изисквания</w:t>
      </w:r>
      <w:r>
        <w:rPr>
          <w:sz w:val="24"/>
          <w:lang w:val="bg-BG"/>
        </w:rPr>
        <w:t xml:space="preserve"> на Системата за управление на качеството. </w:t>
      </w:r>
    </w:p>
    <w:p>
      <w:pPr>
        <w:pStyle w:val="Normal"/>
        <w:widowControl/>
        <w:jc w:val="both"/>
        <w:rPr>
          <w:sz w:val="24"/>
          <w:lang w:val="bg-BG"/>
        </w:rPr>
      </w:pPr>
      <w:r>
        <w:rPr>
          <w:sz w:val="24"/>
          <w:lang w:val="bg-BG"/>
        </w:rPr>
      </w:r>
    </w:p>
    <w:p>
      <w:pPr>
        <w:pStyle w:val="Heading2"/>
        <w:ind w:hanging="0" w:start="0"/>
        <w:rPr/>
      </w:pPr>
      <w:r>
        <w:rPr/>
        <w:t xml:space="preserve">Допуска се провеждането на извънредни одити по преценка на ръководството, като причините се отбелязват в програмата. </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Основания за провеждане на извънредни вътрешни одити могат да бъдат:</w:t>
      </w:r>
    </w:p>
    <w:p>
      <w:pPr>
        <w:pStyle w:val="Normal"/>
        <w:widowControl/>
        <w:numPr>
          <w:ilvl w:val="0"/>
          <w:numId w:val="3"/>
        </w:numPr>
        <w:jc w:val="both"/>
        <w:rPr>
          <w:sz w:val="24"/>
          <w:lang w:val="bg-BG"/>
        </w:rPr>
      </w:pPr>
      <w:r>
        <w:rPr>
          <w:sz w:val="24"/>
          <w:lang w:val="bg-BG"/>
        </w:rPr>
        <w:t>констатирани значими несъответствия от предишен одит;</w:t>
      </w:r>
    </w:p>
    <w:p>
      <w:pPr>
        <w:pStyle w:val="Normal"/>
        <w:widowControl/>
        <w:numPr>
          <w:ilvl w:val="0"/>
          <w:numId w:val="3"/>
        </w:numPr>
        <w:jc w:val="both"/>
        <w:rPr>
          <w:sz w:val="24"/>
          <w:lang w:val="bg-BG"/>
        </w:rPr>
      </w:pPr>
      <w:r>
        <w:rPr>
          <w:sz w:val="24"/>
          <w:lang w:val="bg-BG"/>
        </w:rPr>
        <w:t>рекламации и оплаквания от клиенти;</w:t>
      </w:r>
    </w:p>
    <w:p>
      <w:pPr>
        <w:pStyle w:val="Normal"/>
        <w:widowControl/>
        <w:numPr>
          <w:ilvl w:val="0"/>
          <w:numId w:val="3"/>
        </w:numPr>
        <w:jc w:val="both"/>
        <w:rPr>
          <w:sz w:val="24"/>
          <w:lang w:val="bg-BG"/>
        </w:rPr>
      </w:pPr>
      <w:r>
        <w:rPr>
          <w:sz w:val="24"/>
          <w:lang w:val="bg-BG"/>
        </w:rPr>
        <w:t>промени в технологията на работа;</w:t>
      </w:r>
    </w:p>
    <w:p>
      <w:pPr>
        <w:pStyle w:val="Normal"/>
        <w:widowControl/>
        <w:numPr>
          <w:ilvl w:val="0"/>
          <w:numId w:val="3"/>
        </w:numPr>
        <w:jc w:val="both"/>
        <w:rPr>
          <w:sz w:val="24"/>
          <w:lang w:val="bg-BG"/>
        </w:rPr>
      </w:pPr>
      <w:r>
        <w:rPr>
          <w:sz w:val="24"/>
          <w:lang w:val="bg-BG"/>
        </w:rPr>
        <w:t>промени в използваното производствено оборудване;</w:t>
      </w:r>
    </w:p>
    <w:p>
      <w:pPr>
        <w:pStyle w:val="Normal"/>
        <w:widowControl/>
        <w:numPr>
          <w:ilvl w:val="0"/>
          <w:numId w:val="3"/>
        </w:numPr>
        <w:jc w:val="both"/>
        <w:rPr>
          <w:sz w:val="24"/>
          <w:lang w:val="bg-BG"/>
        </w:rPr>
      </w:pPr>
      <w:r>
        <w:rPr>
          <w:sz w:val="24"/>
          <w:lang w:val="bg-BG"/>
        </w:rPr>
        <w:t>констатирани несъответствия при прегледа на ръководството.</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7.2. Планиране провеждането на одити</w:t>
      </w:r>
    </w:p>
    <w:p>
      <w:pPr>
        <w:pStyle w:val="Normal"/>
        <w:widowControl/>
        <w:jc w:val="both"/>
        <w:rPr/>
      </w:pPr>
      <w:r>
        <w:rPr>
          <w:sz w:val="24"/>
          <w:lang w:val="bg-BG"/>
        </w:rPr>
        <w:t xml:space="preserve">Мениджърът по управление подготвя одита и при необходимост изготвя и представя за подпис от Управителя Заповед за провеждане на вътрешен одит, с която се определят сроковете, обхвата на одита и одиторския екип. </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Одиторите трябва:</w:t>
      </w:r>
    </w:p>
    <w:p>
      <w:pPr>
        <w:pStyle w:val="Normal"/>
        <w:widowControl/>
        <w:numPr>
          <w:ilvl w:val="0"/>
          <w:numId w:val="12"/>
        </w:numPr>
        <w:jc w:val="both"/>
        <w:rPr>
          <w:sz w:val="24"/>
          <w:lang w:val="bg-BG"/>
        </w:rPr>
      </w:pPr>
      <w:r>
        <w:rPr>
          <w:sz w:val="24"/>
          <w:lang w:val="bg-BG"/>
        </w:rPr>
        <w:t>добре да познават -</w:t>
      </w:r>
    </w:p>
    <w:p>
      <w:pPr>
        <w:pStyle w:val="Normal"/>
        <w:widowControl/>
        <w:numPr>
          <w:ilvl w:val="0"/>
          <w:numId w:val="6"/>
        </w:numPr>
        <w:tabs>
          <w:tab w:val="clear" w:pos="720"/>
          <w:tab w:val="left" w:pos="700" w:leader="none"/>
        </w:tabs>
        <w:ind w:hanging="340" w:start="680" w:end="0"/>
        <w:jc w:val="both"/>
        <w:rPr>
          <w:sz w:val="24"/>
          <w:lang w:val="bg-BG"/>
        </w:rPr>
      </w:pPr>
      <w:r>
        <w:rPr>
          <w:sz w:val="24"/>
          <w:lang w:val="bg-BG"/>
        </w:rPr>
        <w:t>изискванията на стандарта,</w:t>
      </w:r>
    </w:p>
    <w:p>
      <w:pPr>
        <w:pStyle w:val="Normal"/>
        <w:widowControl/>
        <w:numPr>
          <w:ilvl w:val="0"/>
          <w:numId w:val="6"/>
        </w:numPr>
        <w:tabs>
          <w:tab w:val="clear" w:pos="720"/>
          <w:tab w:val="left" w:pos="700" w:leader="none"/>
        </w:tabs>
        <w:ind w:hanging="340" w:start="680" w:end="0"/>
        <w:jc w:val="both"/>
        <w:rPr>
          <w:sz w:val="24"/>
          <w:lang w:val="bg-BG"/>
        </w:rPr>
      </w:pPr>
      <w:r>
        <w:rPr>
          <w:sz w:val="24"/>
          <w:lang w:val="bg-BG"/>
        </w:rPr>
        <w:t>структурата и работата на фирмата,</w:t>
      </w:r>
    </w:p>
    <w:p>
      <w:pPr>
        <w:pStyle w:val="Normal"/>
        <w:widowControl/>
        <w:numPr>
          <w:ilvl w:val="0"/>
          <w:numId w:val="6"/>
        </w:numPr>
        <w:tabs>
          <w:tab w:val="clear" w:pos="720"/>
          <w:tab w:val="left" w:pos="700" w:leader="none"/>
        </w:tabs>
        <w:ind w:hanging="340" w:start="680" w:end="0"/>
        <w:jc w:val="both"/>
        <w:rPr>
          <w:sz w:val="24"/>
          <w:lang w:val="bg-BG"/>
        </w:rPr>
      </w:pPr>
      <w:r>
        <w:rPr>
          <w:sz w:val="24"/>
          <w:lang w:val="bg-BG"/>
        </w:rPr>
        <w:t>продуктите и процесите;</w:t>
      </w:r>
    </w:p>
    <w:p>
      <w:pPr>
        <w:pStyle w:val="Normal"/>
        <w:widowControl/>
        <w:numPr>
          <w:ilvl w:val="0"/>
          <w:numId w:val="6"/>
        </w:numPr>
        <w:jc w:val="both"/>
        <w:rPr>
          <w:sz w:val="24"/>
          <w:lang w:val="bg-BG"/>
        </w:rPr>
      </w:pPr>
      <w:r>
        <w:rPr>
          <w:sz w:val="24"/>
          <w:lang w:val="bg-BG"/>
        </w:rPr>
        <w:t>да притежават подходящи образование, квалификация и опит;</w:t>
      </w:r>
    </w:p>
    <w:p>
      <w:pPr>
        <w:pStyle w:val="Normal"/>
        <w:widowControl/>
        <w:numPr>
          <w:ilvl w:val="0"/>
          <w:numId w:val="6"/>
        </w:numPr>
        <w:jc w:val="both"/>
        <w:rPr>
          <w:sz w:val="24"/>
          <w:lang w:val="bg-BG"/>
        </w:rPr>
      </w:pPr>
      <w:r>
        <w:rPr>
          <w:sz w:val="24"/>
          <w:lang w:val="bg-BG"/>
        </w:rPr>
        <w:t>да умеят да работят с хора.</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При определяне на екипа трябва да бъде спазено изискването за обективност и независимост на одитирането. Одиторите не могат да одитират собствената си дейност.</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Водещият одитор:</w:t>
      </w:r>
    </w:p>
    <w:p>
      <w:pPr>
        <w:pStyle w:val="Normal"/>
        <w:widowControl/>
        <w:numPr>
          <w:ilvl w:val="0"/>
          <w:numId w:val="5"/>
        </w:numPr>
        <w:rPr>
          <w:sz w:val="24"/>
          <w:lang w:val="bg-BG"/>
        </w:rPr>
      </w:pPr>
      <w:r>
        <w:rPr>
          <w:sz w:val="24"/>
          <w:lang w:val="bg-BG"/>
        </w:rPr>
        <w:t>подготвя и предлага за утвърждаване на Мениджъра по качеството „План за провеждане  на вътрешен одит” (</w:t>
      </w:r>
      <w:r>
        <w:rPr>
          <w:sz w:val="24"/>
          <w:lang w:val="en-US"/>
        </w:rPr>
        <w:t>OD</w:t>
      </w:r>
      <w:r>
        <w:rPr>
          <w:sz w:val="24"/>
          <w:lang w:val="bg-BG"/>
        </w:rPr>
        <w:t xml:space="preserve"> 09.02.00-2);</w:t>
      </w:r>
    </w:p>
    <w:p>
      <w:pPr>
        <w:pStyle w:val="Normal"/>
        <w:widowControl/>
        <w:numPr>
          <w:ilvl w:val="0"/>
          <w:numId w:val="5"/>
        </w:numPr>
        <w:jc w:val="both"/>
        <w:rPr>
          <w:sz w:val="24"/>
          <w:lang w:val="bg-BG"/>
        </w:rPr>
      </w:pPr>
      <w:r>
        <w:rPr>
          <w:sz w:val="24"/>
          <w:lang w:val="bg-BG"/>
        </w:rPr>
        <w:t>уведомява отговорниците на одитираните звена за обхвата на одита най-малко 3 работни дни предварително.</w:t>
      </w:r>
    </w:p>
    <w:p>
      <w:pPr>
        <w:pStyle w:val="Normal"/>
        <w:rPr>
          <w:sz w:val="24"/>
          <w:lang w:val="bg-BG"/>
        </w:rPr>
      </w:pPr>
      <w:r>
        <w:rPr>
          <w:sz w:val="24"/>
          <w:lang w:val="bg-BG"/>
        </w:rPr>
      </w:r>
    </w:p>
    <w:p>
      <w:pPr>
        <w:pStyle w:val="Normal"/>
        <w:rPr>
          <w:sz w:val="24"/>
          <w:lang w:val="bg-BG"/>
        </w:rPr>
      </w:pPr>
      <w:r>
        <w:rPr>
          <w:sz w:val="24"/>
          <w:lang w:val="bg-BG"/>
        </w:rPr>
        <w:t xml:space="preserve">Планът за провеждане на вътрешен одит включва следните задължителни записи:  </w:t>
      </w:r>
    </w:p>
    <w:p>
      <w:pPr>
        <w:pStyle w:val="Normal"/>
        <w:numPr>
          <w:ilvl w:val="0"/>
          <w:numId w:val="11"/>
        </w:numPr>
        <w:rPr>
          <w:sz w:val="24"/>
          <w:lang w:val="bg-BG"/>
        </w:rPr>
      </w:pPr>
      <w:r>
        <w:rPr>
          <w:sz w:val="24"/>
          <w:lang w:val="bg-BG"/>
        </w:rPr>
        <w:t>цел на одита;</w:t>
      </w:r>
    </w:p>
    <w:p>
      <w:pPr>
        <w:pStyle w:val="Normal"/>
        <w:numPr>
          <w:ilvl w:val="0"/>
          <w:numId w:val="11"/>
        </w:numPr>
        <w:rPr>
          <w:sz w:val="24"/>
          <w:lang w:val="bg-BG"/>
        </w:rPr>
      </w:pPr>
      <w:r>
        <w:rPr>
          <w:sz w:val="24"/>
          <w:lang w:val="bg-BG"/>
        </w:rPr>
        <w:t>одиторски екип;</w:t>
      </w:r>
    </w:p>
    <w:p>
      <w:pPr>
        <w:pStyle w:val="Normal"/>
        <w:numPr>
          <w:ilvl w:val="0"/>
          <w:numId w:val="11"/>
        </w:numPr>
        <w:rPr>
          <w:sz w:val="24"/>
          <w:lang w:val="bg-BG"/>
        </w:rPr>
      </w:pPr>
      <w:r>
        <w:rPr>
          <w:sz w:val="24"/>
          <w:lang w:val="bg-BG"/>
        </w:rPr>
        <w:t>одитирано звено;</w:t>
      </w:r>
    </w:p>
    <w:p>
      <w:pPr>
        <w:pStyle w:val="Normal"/>
        <w:numPr>
          <w:ilvl w:val="0"/>
          <w:numId w:val="11"/>
        </w:numPr>
        <w:rPr>
          <w:sz w:val="24"/>
          <w:lang w:val="bg-BG"/>
        </w:rPr>
      </w:pPr>
      <w:r>
        <w:rPr>
          <w:sz w:val="24"/>
          <w:lang w:val="bg-BG"/>
        </w:rPr>
        <w:t>дата за провеждане на одита;</w:t>
      </w:r>
    </w:p>
    <w:p>
      <w:pPr>
        <w:pStyle w:val="Normal"/>
        <w:numPr>
          <w:ilvl w:val="0"/>
          <w:numId w:val="11"/>
        </w:numPr>
        <w:rPr>
          <w:sz w:val="24"/>
          <w:lang w:val="bg-BG"/>
        </w:rPr>
      </w:pPr>
      <w:r>
        <w:rPr>
          <w:sz w:val="24"/>
          <w:lang w:val="bg-BG"/>
        </w:rPr>
        <w:t>план - график</w:t>
      </w:r>
    </w:p>
    <w:p>
      <w:pPr>
        <w:pStyle w:val="Normal"/>
        <w:rPr>
          <w:sz w:val="24"/>
          <w:lang w:val="bg-BG"/>
        </w:rPr>
      </w:pPr>
      <w:r>
        <w:rPr>
          <w:sz w:val="24"/>
          <w:lang w:val="bg-BG"/>
        </w:rPr>
      </w:r>
    </w:p>
    <w:p>
      <w:pPr>
        <w:pStyle w:val="BodyText2"/>
        <w:rPr/>
      </w:pPr>
      <w:r>
        <w:rPr/>
        <w:t>Подготовката на одита включва преглед на съответните процедурни документи, проучване за съществуващи или потенциални несъответствия, подготовка на въпросници и др.</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7.3. Провеждане на одит</w:t>
      </w:r>
    </w:p>
    <w:p>
      <w:pPr>
        <w:pStyle w:val="Normal"/>
        <w:widowControl/>
        <w:jc w:val="both"/>
        <w:rPr>
          <w:sz w:val="24"/>
          <w:lang w:val="bg-BG"/>
        </w:rPr>
      </w:pPr>
      <w:r>
        <w:rPr>
          <w:sz w:val="24"/>
          <w:lang w:val="bg-BG"/>
        </w:rPr>
        <w:t>Одитиращият екип запознава персонала на одитирания обект с целите, обхвата и организацията за провеждане на одита, преглежда документите и записите на одитираната дейност за спазване на изискванията на стандарта и практиката по прилагането им.</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Доказателства се събират чрез:</w:t>
      </w:r>
    </w:p>
    <w:p>
      <w:pPr>
        <w:pStyle w:val="Normal"/>
        <w:widowControl/>
        <w:numPr>
          <w:ilvl w:val="0"/>
          <w:numId w:val="7"/>
        </w:numPr>
        <w:jc w:val="both"/>
        <w:rPr>
          <w:sz w:val="24"/>
          <w:lang w:val="bg-BG"/>
        </w:rPr>
      </w:pPr>
      <w:r>
        <w:rPr>
          <w:sz w:val="24"/>
          <w:lang w:val="bg-BG"/>
        </w:rPr>
        <w:t>проверка на документи;</w:t>
      </w:r>
    </w:p>
    <w:p>
      <w:pPr>
        <w:pStyle w:val="Normal"/>
        <w:widowControl/>
        <w:numPr>
          <w:ilvl w:val="0"/>
          <w:numId w:val="7"/>
        </w:numPr>
        <w:jc w:val="both"/>
        <w:rPr>
          <w:sz w:val="24"/>
          <w:lang w:val="bg-BG"/>
        </w:rPr>
      </w:pPr>
      <w:r>
        <w:rPr>
          <w:sz w:val="24"/>
          <w:lang w:val="bg-BG"/>
        </w:rPr>
        <w:t>наблюдение на дейности;</w:t>
      </w:r>
    </w:p>
    <w:p>
      <w:pPr>
        <w:pStyle w:val="Normal"/>
        <w:widowControl/>
        <w:numPr>
          <w:ilvl w:val="0"/>
          <w:numId w:val="7"/>
        </w:numPr>
        <w:jc w:val="both"/>
        <w:rPr>
          <w:sz w:val="24"/>
          <w:lang w:val="bg-BG"/>
        </w:rPr>
      </w:pPr>
      <w:r>
        <w:rPr>
          <w:sz w:val="24"/>
          <w:lang w:val="bg-BG"/>
        </w:rPr>
        <w:t>наблюдение на условия и изисквания.</w:t>
      </w:r>
    </w:p>
    <w:p>
      <w:pPr>
        <w:pStyle w:val="Normal"/>
        <w:widowControl/>
        <w:jc w:val="both"/>
        <w:rPr>
          <w:sz w:val="24"/>
          <w:lang w:val="bg-BG"/>
        </w:rPr>
      </w:pPr>
      <w:r>
        <w:rPr>
          <w:sz w:val="24"/>
          <w:lang w:val="bg-BG"/>
        </w:rPr>
        <w:t>Одитът завършва с кратък обобщаващ разговор, на който водещият одитор запознава ръководителите на одитираните обекти с констатираните несъответствия.</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 xml:space="preserve">7.4. Документиране </w:t>
      </w:r>
    </w:p>
    <w:p>
      <w:pPr>
        <w:pStyle w:val="Normal"/>
        <w:widowControl/>
        <w:jc w:val="both"/>
        <w:rPr/>
      </w:pPr>
      <w:r>
        <w:rPr>
          <w:sz w:val="24"/>
          <w:lang w:val="bg-BG"/>
        </w:rPr>
        <w:t>За всяко констатирано несъответствие одиторите съставят „Протокол за несъответствие при вътрешен одит” (</w:t>
      </w:r>
      <w:r>
        <w:rPr>
          <w:sz w:val="24"/>
          <w:lang w:val="en-US"/>
        </w:rPr>
        <w:t>OD</w:t>
      </w:r>
      <w:r>
        <w:rPr>
          <w:sz w:val="24"/>
          <w:lang w:val="bg-BG"/>
        </w:rPr>
        <w:t xml:space="preserve"> 09.02.00-3), който трябва да бъде подписан от одитора и отговорника на одитираното звено. Протоколът се съставя в три екземпляра – за одитора, отговорника на звеното и Мениджъра по качеството. </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7.5. Определяне на коригиращи действия</w:t>
      </w:r>
    </w:p>
    <w:p>
      <w:pPr>
        <w:pStyle w:val="Normal"/>
        <w:widowControl/>
        <w:jc w:val="both"/>
        <w:rPr/>
      </w:pPr>
      <w:r>
        <w:rPr>
          <w:sz w:val="24"/>
          <w:lang w:val="bg-BG"/>
        </w:rPr>
        <w:t>Отговорникът на одитираното звено предлага корекция или коригиращо действие, което се записва в определеното за целта място на „Протокола за несъответствие при вътрешен одит” (</w:t>
      </w:r>
      <w:r>
        <w:rPr>
          <w:sz w:val="24"/>
          <w:lang w:val="en-US"/>
        </w:rPr>
        <w:t>OD</w:t>
      </w:r>
      <w:r>
        <w:rPr>
          <w:sz w:val="24"/>
          <w:lang w:val="bg-BG"/>
        </w:rPr>
        <w:t xml:space="preserve"> 09.02.00-3). </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7.6. Доклад за резултатите от одита</w:t>
      </w:r>
    </w:p>
    <w:p>
      <w:pPr>
        <w:pStyle w:val="Normal"/>
        <w:widowControl/>
        <w:jc w:val="both"/>
        <w:rPr/>
      </w:pPr>
      <w:r>
        <w:rPr>
          <w:sz w:val="24"/>
          <w:lang w:val="bg-BG"/>
        </w:rPr>
        <w:t>Водещият одитор обобщава резултатите в „Доклад за провеждане на вътрешен одит” (</w:t>
      </w:r>
      <w:r>
        <w:rPr>
          <w:sz w:val="24"/>
          <w:lang w:val="en-US"/>
        </w:rPr>
        <w:t>OD</w:t>
      </w:r>
      <w:r>
        <w:rPr>
          <w:sz w:val="24"/>
          <w:lang w:val="bg-BG"/>
        </w:rPr>
        <w:t xml:space="preserve"> 09.02.00-4) и заедно с протоколите за несъответствие ги предава на Мениджъра по управление за запознаване и разпореждане.</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7.7. Разпореждане за изпълнение на коригиращи действия</w:t>
      </w:r>
    </w:p>
    <w:p>
      <w:pPr>
        <w:pStyle w:val="Heading2"/>
        <w:ind w:hanging="0" w:start="0"/>
        <w:rPr/>
      </w:pPr>
      <w:r>
        <w:rPr/>
        <w:t>След запознаване с доклада Мениджърът по управление взема отношение по предложените коригиращи действия като определя срок за изпълнение и отговорник за изпълнението и той или водещия одитор го предават на определения отговорник за изпълнението.</w:t>
      </w:r>
    </w:p>
    <w:p>
      <w:pPr>
        <w:pStyle w:val="Normal"/>
        <w:rPr>
          <w:lang w:val="bg-BG"/>
        </w:rPr>
      </w:pPr>
      <w:r>
        <w:rPr>
          <w:lang w:val="bg-BG"/>
        </w:rPr>
      </w:r>
    </w:p>
    <w:p>
      <w:pPr>
        <w:pStyle w:val="Normal"/>
        <w:widowControl/>
        <w:jc w:val="both"/>
        <w:rPr>
          <w:b/>
          <w:sz w:val="24"/>
          <w:lang w:val="bg-BG"/>
        </w:rPr>
      </w:pPr>
      <w:r>
        <w:rPr>
          <w:b/>
          <w:sz w:val="24"/>
          <w:lang w:val="bg-BG"/>
        </w:rPr>
        <w:t>7.8. Осъществяване на коригиращите действия</w:t>
      </w:r>
    </w:p>
    <w:p>
      <w:pPr>
        <w:pStyle w:val="Normal"/>
        <w:widowControl/>
        <w:jc w:val="both"/>
        <w:rPr>
          <w:sz w:val="24"/>
          <w:lang w:val="bg-BG"/>
        </w:rPr>
      </w:pPr>
      <w:r>
        <w:rPr>
          <w:sz w:val="24"/>
          <w:lang w:val="bg-BG"/>
        </w:rPr>
        <w:t>В случай, че забелязаните несъответствия са малки и лесно отстраними, те се отстраняват чрез незабавна корекция. При несъответствия, за отстраняването на които са необходими по-сложни действия, координация и намеса на Управителя, се предприемат коригиращи действия.</w:t>
      </w:r>
    </w:p>
    <w:p>
      <w:pPr>
        <w:pStyle w:val="Normal"/>
        <w:widowControl/>
        <w:jc w:val="both"/>
        <w:rPr>
          <w:b/>
          <w:i/>
          <w:sz w:val="24"/>
          <w:lang w:val="bg-BG"/>
        </w:rPr>
      </w:pPr>
      <w:r>
        <w:rPr>
          <w:b/>
          <w:i/>
          <w:sz w:val="24"/>
          <w:lang w:val="bg-BG"/>
        </w:rPr>
      </w:r>
    </w:p>
    <w:p>
      <w:pPr>
        <w:pStyle w:val="Normal"/>
        <w:widowControl/>
        <w:jc w:val="both"/>
        <w:rPr>
          <w:b/>
          <w:sz w:val="24"/>
          <w:lang w:val="bg-BG"/>
        </w:rPr>
      </w:pPr>
      <w:r>
        <w:rPr>
          <w:b/>
          <w:sz w:val="24"/>
          <w:lang w:val="bg-BG"/>
        </w:rPr>
        <w:t>7.9. Преглед на предприетите коригиращи действия</w:t>
      </w:r>
    </w:p>
    <w:p>
      <w:pPr>
        <w:pStyle w:val="Normal"/>
        <w:widowControl/>
        <w:jc w:val="both"/>
        <w:rPr/>
      </w:pPr>
      <w:r>
        <w:rPr>
          <w:sz w:val="24"/>
          <w:lang w:val="bg-BG"/>
        </w:rPr>
        <w:t xml:space="preserve">След изтичане на определения срок МК извършва проверка относно обема и ефикасността от  изпълнение на предписаните коригиращи действия; отразява резултатите от проверката на изпълнението в </w:t>
      </w:r>
      <w:r>
        <w:rPr>
          <w:sz w:val="24"/>
          <w:lang w:val="en-US"/>
        </w:rPr>
        <w:t>OD</w:t>
      </w:r>
      <w:r>
        <w:rPr>
          <w:sz w:val="24"/>
          <w:lang w:val="bg-BG"/>
        </w:rPr>
        <w:t xml:space="preserve"> 09.02.00-3 „Протокол за несъответствие при вътрешен одит”.</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7.10. Поддържане на документи</w:t>
      </w:r>
    </w:p>
    <w:p>
      <w:pPr>
        <w:pStyle w:val="Normal"/>
        <w:widowControl/>
        <w:jc w:val="both"/>
        <w:rPr/>
      </w:pPr>
      <w:r>
        <w:rPr>
          <w:sz w:val="24"/>
          <w:lang w:val="bg-BG"/>
        </w:rPr>
        <w:t>Всички документи за проведените вътрешни одити се съхраняват от Мениджъра по управление. Резултатите от вътрешните одити служат като входни данни за прегледа, провеждан от ръководството за оценяване на ефективността на системата.</w:t>
      </w:r>
      <w:r>
        <w:rPr>
          <w:b/>
          <w:sz w:val="24"/>
          <w:lang w:val="bg-BG"/>
        </w:rPr>
        <w:t xml:space="preserve"> </w:t>
      </w:r>
    </w:p>
    <w:p>
      <w:pPr>
        <w:pStyle w:val="Normal"/>
        <w:rPr>
          <w:b/>
          <w:sz w:val="24"/>
          <w:lang w:val="bg-BG"/>
        </w:rPr>
      </w:pPr>
      <w:r>
        <w:rPr>
          <w:b/>
          <w:sz w:val="24"/>
          <w:lang w:val="bg-BG"/>
        </w:rPr>
      </w:r>
    </w:p>
    <w:p>
      <w:pPr>
        <w:pStyle w:val="Normal"/>
        <w:rPr>
          <w:sz w:val="24"/>
          <w:lang w:val="bg-BG"/>
        </w:rPr>
      </w:pPr>
      <w:r>
        <w:rPr>
          <w:sz w:val="24"/>
          <w:lang w:val="bg-BG"/>
        </w:rPr>
      </w:r>
    </w:p>
    <w:p>
      <w:pPr>
        <w:pStyle w:val="Normal"/>
        <w:widowControl/>
        <w:jc w:val="both"/>
        <w:rPr/>
      </w:pPr>
      <w:r>
        <w:rPr>
          <w:b/>
          <w:sz w:val="24"/>
          <w:lang w:val="en-US"/>
        </w:rPr>
        <w:t>8</w:t>
      </w:r>
      <w:r>
        <w:rPr>
          <w:b/>
          <w:sz w:val="24"/>
          <w:lang w:val="bg-BG"/>
        </w:rPr>
        <w:t>. СВЪРЗАНИ ДОКУМЕНТИ</w:t>
      </w:r>
    </w:p>
    <w:p>
      <w:pPr>
        <w:pStyle w:val="Normal"/>
        <w:widowControl/>
        <w:jc w:val="both"/>
        <w:rPr>
          <w:b/>
          <w:sz w:val="24"/>
          <w:lang w:val="bg-BG"/>
        </w:rPr>
      </w:pPr>
      <w:r>
        <w:rPr>
          <w:b/>
          <w:sz w:val="24"/>
          <w:lang w:val="bg-BG"/>
        </w:rPr>
      </w:r>
    </w:p>
    <w:p>
      <w:pPr>
        <w:pStyle w:val="Normal"/>
        <w:widowControl/>
        <w:numPr>
          <w:ilvl w:val="0"/>
          <w:numId w:val="2"/>
        </w:numPr>
        <w:jc w:val="both"/>
        <w:rPr>
          <w:sz w:val="24"/>
          <w:lang w:val="bg-BG"/>
        </w:rPr>
      </w:pPr>
      <w:r>
        <w:rPr>
          <w:sz w:val="24"/>
          <w:lang w:val="en-US"/>
        </w:rPr>
        <w:t>OD</w:t>
      </w:r>
      <w:r>
        <w:rPr>
          <w:sz w:val="24"/>
          <w:lang w:val="bg-BG"/>
        </w:rPr>
        <w:t xml:space="preserve"> 09.02.00-1 </w:t>
        <w:tab/>
        <w:t>„Годишен план за провеждане на вътрешни одити ”</w:t>
      </w:r>
    </w:p>
    <w:p>
      <w:pPr>
        <w:pStyle w:val="Normal"/>
        <w:widowControl/>
        <w:numPr>
          <w:ilvl w:val="0"/>
          <w:numId w:val="2"/>
        </w:numPr>
        <w:jc w:val="both"/>
        <w:rPr>
          <w:sz w:val="24"/>
          <w:lang w:val="bg-BG"/>
        </w:rPr>
      </w:pPr>
      <w:r>
        <w:rPr>
          <w:sz w:val="24"/>
          <w:lang w:val="en-US"/>
        </w:rPr>
        <w:t>OD</w:t>
      </w:r>
      <w:r>
        <w:rPr>
          <w:sz w:val="24"/>
          <w:lang w:val="bg-BG"/>
        </w:rPr>
        <w:t xml:space="preserve"> 09.02.00-2 </w:t>
        <w:tab/>
        <w:t>„План за провеждане на вътрешен одит”</w:t>
      </w:r>
    </w:p>
    <w:p>
      <w:pPr>
        <w:pStyle w:val="Normal"/>
        <w:widowControl/>
        <w:numPr>
          <w:ilvl w:val="0"/>
          <w:numId w:val="2"/>
        </w:numPr>
        <w:jc w:val="both"/>
        <w:rPr>
          <w:sz w:val="24"/>
          <w:lang w:val="bg-BG"/>
        </w:rPr>
      </w:pPr>
      <w:r>
        <w:rPr>
          <w:sz w:val="24"/>
          <w:lang w:val="en-US"/>
        </w:rPr>
        <w:t>OD</w:t>
      </w:r>
      <w:r>
        <w:rPr>
          <w:sz w:val="24"/>
          <w:lang w:val="bg-BG"/>
        </w:rPr>
        <w:t xml:space="preserve"> 09.02.00-3 </w:t>
        <w:tab/>
        <w:t>„Протокол за несъответствие при вътрешен одит”</w:t>
      </w:r>
    </w:p>
    <w:p>
      <w:pPr>
        <w:pStyle w:val="Normal"/>
        <w:widowControl/>
        <w:numPr>
          <w:ilvl w:val="0"/>
          <w:numId w:val="2"/>
        </w:numPr>
        <w:jc w:val="both"/>
        <w:rPr>
          <w:sz w:val="24"/>
          <w:lang w:val="bg-BG"/>
        </w:rPr>
      </w:pPr>
      <w:r>
        <w:rPr>
          <w:sz w:val="24"/>
          <w:lang w:val="en-US"/>
        </w:rPr>
        <w:t>OD</w:t>
      </w:r>
      <w:r>
        <w:rPr>
          <w:sz w:val="24"/>
          <w:lang w:val="bg-BG"/>
        </w:rPr>
        <w:t xml:space="preserve"> 00.02.00-4</w:t>
        <w:tab/>
        <w:t>Доклад за провеждане на вътрешен одит”</w:t>
      </w:r>
    </w:p>
    <w:p>
      <w:pPr>
        <w:pStyle w:val="Normal"/>
        <w:widowControl/>
        <w:jc w:val="both"/>
        <w:rPr>
          <w:sz w:val="24"/>
          <w:lang w:val="bg-BG"/>
        </w:rPr>
      </w:pPr>
      <w:r>
        <w:rPr>
          <w:sz w:val="24"/>
          <w:lang w:val="bg-BG"/>
        </w:rPr>
      </w:r>
    </w:p>
    <w:p>
      <w:pPr>
        <w:pStyle w:val="Normal"/>
        <w:rPr>
          <w:sz w:val="24"/>
          <w:lang w:val="bg-BG"/>
        </w:rPr>
      </w:pPr>
      <w:r>
        <w:rPr>
          <w:sz w:val="24"/>
          <w:lang w:val="bg-BG"/>
        </w:rPr>
      </w:r>
    </w:p>
    <w:sectPr>
      <w:headerReference w:type="default" r:id="rId2"/>
      <w:headerReference w:type="first" r:id="rId3"/>
      <w:footerReference w:type="default" r:id="rId4"/>
      <w:footerReference w:type="first" r:id="rId5"/>
      <w:type w:val="nextPage"/>
      <w:pgSz w:w="11906" w:h="16838"/>
      <w:pgMar w:left="1418" w:right="851" w:gutter="0" w:header="624" w:top="851" w:footer="56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89" w:type="dxa"/>
      <w:jc w:val="start"/>
      <w:tblInd w:w="0" w:type="dxa"/>
      <w:tblLayout w:type="fixed"/>
      <w:tblCellMar>
        <w:top w:w="0" w:type="dxa"/>
        <w:start w:w="108" w:type="dxa"/>
        <w:bottom w:w="0" w:type="dxa"/>
        <w:end w:w="108" w:type="dxa"/>
      </w:tblCellMar>
    </w:tblPr>
    <w:tblGrid>
      <w:gridCol w:w="7621"/>
      <w:gridCol w:w="970"/>
      <w:gridCol w:w="1298"/>
    </w:tblGrid>
    <w:tr>
      <w:trPr>
        <w:cantSplit/>
      </w:trPr>
      <w:tc>
        <w:tcPr>
          <w:tcW w:w="7621" w:type="dxa"/>
          <w:tcBorders>
            <w:top w:val="single" w:sz="6" w:space="0" w:color="000000"/>
            <w:start w:val="single" w:sz="6" w:space="0" w:color="000000"/>
            <w:bottom w:val="single" w:sz="6" w:space="0" w:color="000000"/>
            <w:end w:val="single" w:sz="6" w:space="0" w:color="000000"/>
          </w:tcBorders>
        </w:tcPr>
        <w:p>
          <w:pPr>
            <w:pStyle w:val="Header"/>
            <w:widowControl/>
            <w:rPr>
              <w:lang w:val="bg-BG"/>
            </w:rPr>
          </w:pPr>
          <w:r>
            <w:rPr>
              <w:b/>
              <w:lang w:val="en-US"/>
            </w:rPr>
            <w:t>PK 09</w:t>
          </w:r>
          <w:r>
            <w:rPr>
              <w:b/>
              <w:lang w:val="bg-BG"/>
            </w:rPr>
            <w:t>.02.0</w:t>
          </w:r>
          <w:r>
            <w:rPr>
              <w:b/>
              <w:lang w:val="en-US"/>
            </w:rPr>
            <w:t>0</w:t>
          </w:r>
        </w:p>
      </w:tc>
      <w:tc>
        <w:tcPr>
          <w:tcW w:w="970" w:type="dxa"/>
          <w:tcBorders>
            <w:top w:val="single" w:sz="6" w:space="0" w:color="000000"/>
            <w:start w:val="single" w:sz="6" w:space="0" w:color="000000"/>
            <w:bottom w:val="single" w:sz="6" w:space="0" w:color="000000"/>
            <w:end w:val="single" w:sz="6" w:space="0" w:color="000000"/>
          </w:tcBorders>
        </w:tcPr>
        <w:p>
          <w:pPr>
            <w:pStyle w:val="Header"/>
            <w:widowControl/>
            <w:rPr>
              <w:lang w:val="bg-BG"/>
            </w:rPr>
          </w:pPr>
          <w:r>
            <w:rPr>
              <w:lang w:val="en-US"/>
            </w:rPr>
            <w:t>Версия</w:t>
          </w:r>
        </w:p>
      </w:tc>
      <w:tc>
        <w:tcPr>
          <w:tcW w:w="1298" w:type="dxa"/>
          <w:tcBorders>
            <w:top w:val="single" w:sz="6" w:space="0" w:color="000000"/>
            <w:start w:val="single" w:sz="6" w:space="0" w:color="000000"/>
            <w:bottom w:val="single" w:sz="6" w:space="0" w:color="000000"/>
            <w:end w:val="single" w:sz="6" w:space="0" w:color="000000"/>
          </w:tcBorders>
        </w:tcPr>
        <w:p>
          <w:pPr>
            <w:pStyle w:val="Header"/>
            <w:widowControl/>
            <w:jc w:val="center"/>
            <w:rPr>
              <w:lang w:val="bg-BG"/>
            </w:rPr>
          </w:pPr>
          <w:r>
            <w:rPr>
              <w:lang w:val="bg-BG"/>
            </w:rPr>
            <w:t>01</w:t>
          </w:r>
        </w:p>
      </w:tc>
    </w:tr>
    <w:tr>
      <w:trPr>
        <w:cantSplit/>
      </w:trPr>
      <w:tc>
        <w:tcPr>
          <w:tcW w:w="7621" w:type="dxa"/>
          <w:tcBorders>
            <w:top w:val="single" w:sz="6" w:space="0" w:color="000000"/>
            <w:start w:val="single" w:sz="6" w:space="0" w:color="000000"/>
            <w:bottom w:val="single" w:sz="6" w:space="0" w:color="000000"/>
            <w:end w:val="single" w:sz="6" w:space="0" w:color="000000"/>
          </w:tcBorders>
        </w:tcPr>
        <w:p>
          <w:pPr>
            <w:pStyle w:val="Header"/>
            <w:widowControl/>
            <w:rPr>
              <w:lang w:val="en-US"/>
            </w:rPr>
          </w:pPr>
          <w:r>
            <w:rPr>
              <w:lang w:val="en-US"/>
            </w:rPr>
            <w:t>ISO</w:t>
          </w:r>
          <w:r>
            <w:rPr>
              <w:lang w:val="bg-BG"/>
            </w:rPr>
            <w:t xml:space="preserve"> 9001:</w:t>
          </w:r>
          <w:r>
            <w:rPr>
              <w:lang w:val="en-US"/>
            </w:rPr>
            <w:t>2015; ISO 14001:2015; ISO 45001:2018</w:t>
          </w:r>
        </w:p>
      </w:tc>
      <w:tc>
        <w:tcPr>
          <w:tcW w:w="970" w:type="dxa"/>
          <w:tcBorders>
            <w:top w:val="single" w:sz="6" w:space="0" w:color="000000"/>
            <w:start w:val="single" w:sz="6" w:space="0" w:color="000000"/>
            <w:bottom w:val="single" w:sz="6" w:space="0" w:color="000000"/>
            <w:end w:val="single" w:sz="6" w:space="0" w:color="000000"/>
          </w:tcBorders>
        </w:tcPr>
        <w:p>
          <w:pPr>
            <w:pStyle w:val="Header"/>
            <w:widowControl/>
            <w:rPr>
              <w:lang w:val="bg-BG"/>
            </w:rPr>
          </w:pPr>
          <w:r>
            <w:rPr>
              <w:lang w:val="bg-BG"/>
            </w:rPr>
            <w:t>Стр.</w:t>
          </w:r>
        </w:p>
      </w:tc>
      <w:tc>
        <w:tcPr>
          <w:tcW w:w="1298" w:type="dxa"/>
          <w:tcBorders>
            <w:top w:val="single" w:sz="6" w:space="0" w:color="000000"/>
            <w:start w:val="single" w:sz="6" w:space="0" w:color="000000"/>
            <w:bottom w:val="single" w:sz="6" w:space="0" w:color="000000"/>
            <w:end w:val="single" w:sz="6" w:space="0" w:color="000000"/>
          </w:tcBorders>
        </w:tcPr>
        <w:p>
          <w:pPr>
            <w:pStyle w:val="Header"/>
            <w:widowControl/>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lang w:val="bg-BG"/>
            </w:rPr>
            <w:t>/4</w:t>
          </w:r>
        </w:p>
      </w:tc>
    </w:tr>
    <w:tr>
      <w:trPr>
        <w:cantSplit/>
      </w:trPr>
      <w:tc>
        <w:tcPr>
          <w:tcW w:w="9889" w:type="dxa"/>
          <w:gridSpan w:val="3"/>
          <w:tcBorders>
            <w:top w:val="single" w:sz="6" w:space="0" w:color="000000"/>
            <w:start w:val="single" w:sz="6" w:space="0" w:color="000000"/>
            <w:bottom w:val="single" w:sz="6" w:space="0" w:color="000000"/>
            <w:end w:val="single" w:sz="6" w:space="0" w:color="000000"/>
          </w:tcBorders>
        </w:tcPr>
        <w:p>
          <w:pPr>
            <w:pStyle w:val="Header"/>
            <w:widowControl/>
            <w:jc w:val="center"/>
            <w:rPr>
              <w:b/>
              <w:lang w:val="bg-BG"/>
            </w:rPr>
          </w:pPr>
          <w:r>
            <w:rPr>
              <w:b/>
              <w:lang w:val="bg-BG"/>
            </w:rPr>
            <w:t>ВЪТРЕШНИ ОДИТИ</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89" w:type="dxa"/>
      <w:jc w:val="start"/>
      <w:tblInd w:w="0" w:type="dxa"/>
      <w:tblLayout w:type="fixed"/>
      <w:tblCellMar>
        <w:top w:w="0" w:type="dxa"/>
        <w:start w:w="108" w:type="dxa"/>
        <w:bottom w:w="0" w:type="dxa"/>
        <w:end w:w="108" w:type="dxa"/>
      </w:tblCellMar>
    </w:tblPr>
    <w:tblGrid>
      <w:gridCol w:w="1384"/>
      <w:gridCol w:w="1701"/>
      <w:gridCol w:w="4431"/>
      <w:gridCol w:w="1115"/>
      <w:gridCol w:w="1258"/>
    </w:tblGrid>
    <w:tr>
      <w:trPr>
        <w:cantSplit/>
      </w:trPr>
      <w:tc>
        <w:tcPr>
          <w:tcW w:w="3085" w:type="dxa"/>
          <w:gridSpan w:val="2"/>
          <w:vMerge w:val="restart"/>
          <w:tcBorders>
            <w:top w:val="single" w:sz="12" w:space="0" w:color="000000"/>
            <w:start w:val="single" w:sz="12" w:space="0" w:color="000000"/>
            <w:end w:val="single" w:sz="12" w:space="0" w:color="000000"/>
          </w:tcBorders>
          <w:vAlign w:val="center"/>
        </w:tcPr>
        <w:p>
          <w:pPr>
            <w:pStyle w:val="Normal"/>
            <w:jc w:val="center"/>
            <w:rPr>
              <w:lang w:val="en-US"/>
            </w:rPr>
          </w:pPr>
          <w:r>
            <w:rPr>
              <w:b/>
              <w:sz w:val="24"/>
              <w:szCs w:val="24"/>
              <w:lang w:val="en-US"/>
            </w:rPr>
            <w:t>„</w:t>
          </w:r>
          <w:r>
            <w:rPr>
              <w:b/>
              <w:sz w:val="24"/>
              <w:szCs w:val="24"/>
              <w:lang w:val="en-US"/>
            </w:rPr>
            <w:t>Витоша газ“  ЕООД</w:t>
          </w:r>
        </w:p>
      </w:tc>
      <w:tc>
        <w:tcPr>
          <w:tcW w:w="4431" w:type="dxa"/>
          <w:tcBorders>
            <w:top w:val="single" w:sz="12" w:space="0" w:color="000000"/>
            <w:bottom w:val="single" w:sz="6" w:space="0" w:color="000000"/>
            <w:end w:val="single" w:sz="12" w:space="0" w:color="000000"/>
          </w:tcBorders>
        </w:tcPr>
        <w:p>
          <w:pPr>
            <w:pStyle w:val="Header"/>
            <w:widowControl/>
            <w:rPr>
              <w:lang w:val="bg-BG"/>
            </w:rPr>
          </w:pPr>
          <w:r>
            <w:rPr>
              <w:b/>
              <w:lang w:val="en-US"/>
            </w:rPr>
            <w:t>IP 09.0</w:t>
          </w:r>
          <w:r>
            <w:rPr>
              <w:b/>
              <w:lang w:val="bg-BG"/>
            </w:rPr>
            <w:t>2</w:t>
          </w:r>
          <w:r>
            <w:rPr>
              <w:b/>
              <w:lang w:val="en-US"/>
            </w:rPr>
            <w:t>.00</w:t>
          </w:r>
        </w:p>
      </w:tc>
      <w:tc>
        <w:tcPr>
          <w:tcW w:w="1115" w:type="dxa"/>
          <w:tcBorders>
            <w:top w:val="single" w:sz="12" w:space="0" w:color="000000"/>
            <w:bottom w:val="single" w:sz="6" w:space="0" w:color="000000"/>
            <w:end w:val="single" w:sz="6" w:space="0" w:color="000000"/>
          </w:tcBorders>
        </w:tcPr>
        <w:p>
          <w:pPr>
            <w:pStyle w:val="Header"/>
            <w:widowControl/>
            <w:rPr>
              <w:lang w:val="bg-BG"/>
            </w:rPr>
          </w:pPr>
          <w:r>
            <w:rPr>
              <w:lang w:val="en-US"/>
            </w:rPr>
            <w:t>Версия</w:t>
          </w:r>
        </w:p>
      </w:tc>
      <w:tc>
        <w:tcPr>
          <w:tcW w:w="1258"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bg-BG"/>
            </w:rPr>
          </w:pPr>
          <w:r>
            <w:rPr>
              <w:lang w:val="bg-BG"/>
            </w:rPr>
            <w:t>01</w:t>
          </w:r>
        </w:p>
      </w:tc>
    </w:tr>
    <w:tr>
      <w:trPr>
        <w:cantSplit/>
      </w:trPr>
      <w:tc>
        <w:tcPr>
          <w:tcW w:w="3085" w:type="dxa"/>
          <w:gridSpan w:val="2"/>
          <w:vMerge w:val="continue"/>
          <w:tcBorders>
            <w:top w:val="single" w:sz="12" w:space="0" w:color="000000"/>
            <w:start w:val="single" w:sz="12" w:space="0" w:color="000000"/>
            <w:end w:val="single" w:sz="12" w:space="0" w:color="000000"/>
          </w:tcBorders>
          <w:vAlign w:val="center"/>
        </w:tcPr>
        <w:p>
          <w:pPr>
            <w:pStyle w:val="Header"/>
            <w:snapToGrid w:val="false"/>
            <w:jc w:val="center"/>
            <w:rPr>
              <w:lang w:val="en-US"/>
            </w:rPr>
          </w:pPr>
          <w:r>
            <w:rPr>
              <w:lang w:val="en-US"/>
            </w:rPr>
          </w:r>
        </w:p>
      </w:tc>
      <w:tc>
        <w:tcPr>
          <w:tcW w:w="4431" w:type="dxa"/>
          <w:tcBorders>
            <w:top w:val="single" w:sz="6" w:space="0" w:color="000000"/>
            <w:bottom w:val="single" w:sz="12" w:space="0" w:color="000000"/>
            <w:end w:val="single" w:sz="12" w:space="0" w:color="000000"/>
          </w:tcBorders>
        </w:tcPr>
        <w:p>
          <w:pPr>
            <w:pStyle w:val="Header"/>
            <w:widowControl/>
            <w:rPr>
              <w:lang w:val="en-US"/>
            </w:rPr>
          </w:pPr>
          <w:r>
            <w:rPr>
              <w:lang w:val="en-US"/>
            </w:rPr>
            <w:t>ISO</w:t>
          </w:r>
          <w:r>
            <w:rPr>
              <w:lang w:val="bg-BG"/>
            </w:rPr>
            <w:t xml:space="preserve"> 9001:</w:t>
          </w:r>
          <w:r>
            <w:rPr>
              <w:lang w:val="en-US"/>
            </w:rPr>
            <w:t>2015; ISO 14001:2015; ISO 45001:2018</w:t>
          </w:r>
        </w:p>
      </w:tc>
      <w:tc>
        <w:tcPr>
          <w:tcW w:w="1115"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1258"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lang w:val="bg-BG"/>
            </w:rPr>
            <w:t>1/4</w:t>
          </w:r>
        </w:p>
      </w:tc>
    </w:tr>
    <w:tr>
      <w:trPr>
        <w:cantSplit/>
      </w:trPr>
      <w:tc>
        <w:tcPr>
          <w:tcW w:w="3085" w:type="dxa"/>
          <w:gridSpan w:val="2"/>
          <w:vMerge w:val="continue"/>
          <w:tcBorders>
            <w:top w:val="single" w:sz="12" w:space="0" w:color="000000"/>
            <w:start w:val="single" w:sz="12" w:space="0" w:color="000000"/>
            <w:end w:val="single" w:sz="12" w:space="0" w:color="000000"/>
          </w:tcBorders>
          <w:vAlign w:val="center"/>
        </w:tcPr>
        <w:p>
          <w:pPr>
            <w:pStyle w:val="Header"/>
            <w:widowControl/>
            <w:snapToGrid w:val="false"/>
            <w:jc w:val="center"/>
            <w:rPr>
              <w:lang w:val="bg-BG"/>
            </w:rPr>
          </w:pPr>
          <w:r>
            <w:rPr>
              <w:lang w:val="bg-BG"/>
            </w:rPr>
          </w:r>
        </w:p>
      </w:tc>
      <w:tc>
        <w:tcPr>
          <w:tcW w:w="4431" w:type="dxa"/>
          <w:tcBorders>
            <w:top w:val="single" w:sz="12" w:space="0" w:color="000000"/>
            <w:bottom w:val="single" w:sz="12" w:space="0" w:color="000000"/>
            <w:end w:val="single" w:sz="12" w:space="0" w:color="000000"/>
          </w:tcBorders>
        </w:tcPr>
        <w:p>
          <w:pPr>
            <w:pStyle w:val="Header"/>
            <w:widowControl/>
            <w:snapToGrid w:val="false"/>
            <w:rPr>
              <w:b/>
              <w:lang w:val="bg-BG"/>
            </w:rPr>
          </w:pPr>
          <w:r>
            <w:rPr>
              <w:b/>
              <w:lang w:val="bg-BG"/>
            </w:rPr>
          </w:r>
        </w:p>
        <w:p>
          <w:pPr>
            <w:pStyle w:val="Header"/>
            <w:widowControl/>
            <w:rPr>
              <w:lang w:val="bg-BG"/>
            </w:rPr>
          </w:pPr>
          <w:r>
            <w:rPr>
              <w:b/>
              <w:lang w:val="bg-BG"/>
            </w:rPr>
            <w:t>ВЪТРЕШНИ ОДИТИ</w:t>
          </w:r>
        </w:p>
      </w:tc>
      <w:tc>
        <w:tcPr>
          <w:tcW w:w="1115" w:type="dxa"/>
          <w:tcBorders>
            <w:top w:val="single" w:sz="12" w:space="0" w:color="000000"/>
            <w:bottom w:val="single" w:sz="12" w:space="0" w:color="000000"/>
            <w:end w:val="single" w:sz="6" w:space="0" w:color="000000"/>
          </w:tcBorders>
        </w:tcPr>
        <w:p>
          <w:pPr>
            <w:pStyle w:val="Header"/>
            <w:widowControl/>
            <w:snapToGrid w:val="false"/>
            <w:rPr>
              <w:lang w:val="bg-BG"/>
            </w:rPr>
          </w:pPr>
          <w:r>
            <w:rPr>
              <w:lang w:val="bg-BG"/>
            </w:rPr>
          </w:r>
        </w:p>
        <w:p>
          <w:pPr>
            <w:pStyle w:val="Header"/>
            <w:widowControl/>
            <w:rPr>
              <w:lang w:val="bg-BG"/>
            </w:rPr>
          </w:pPr>
          <w:r>
            <w:rPr>
              <w:lang w:val="bg-BG"/>
            </w:rPr>
          </w:r>
        </w:p>
        <w:p>
          <w:pPr>
            <w:pStyle w:val="Header"/>
            <w:widowControl/>
            <w:rPr>
              <w:lang w:val="bg-BG"/>
            </w:rPr>
          </w:pPr>
          <w:r>
            <w:rPr>
              <w:lang w:val="bg-BG"/>
            </w:rPr>
            <w:t>Подпис:</w:t>
          </w:r>
        </w:p>
      </w:tc>
      <w:tc>
        <w:tcPr>
          <w:tcW w:w="1258" w:type="dxa"/>
          <w:tcBorders>
            <w:top w:val="single" w:sz="12" w:space="0" w:color="000000"/>
            <w:start w:val="single" w:sz="6" w:space="0" w:color="000000"/>
            <w:bottom w:val="single" w:sz="12" w:space="0" w:color="000000"/>
            <w:end w:val="single" w:sz="12" w:space="0" w:color="000000"/>
          </w:tcBorders>
        </w:tcPr>
        <w:p>
          <w:pPr>
            <w:pStyle w:val="Header"/>
            <w:widowControl/>
            <w:snapToGrid w:val="false"/>
            <w:rPr>
              <w:lang w:val="bg-BG"/>
            </w:rPr>
          </w:pPr>
          <w:r>
            <w:rPr>
              <w:lang w:val="bg-BG"/>
            </w:rPr>
          </w:r>
        </w:p>
        <w:p>
          <w:pPr>
            <w:pStyle w:val="Header"/>
            <w:widowControl/>
            <w:rPr>
              <w:lang w:val="bg-BG"/>
            </w:rPr>
          </w:pPr>
          <w:r>
            <w:rPr>
              <w:lang w:val="bg-BG"/>
            </w:rPr>
          </w:r>
        </w:p>
        <w:p>
          <w:pPr>
            <w:pStyle w:val="Header"/>
            <w:widowControl/>
            <w:rPr>
              <w:lang w:val="bg-BG"/>
            </w:rPr>
          </w:pPr>
          <w:r>
            <w:rPr>
              <w:lang w:val="bg-BG"/>
            </w:rPr>
            <w:t>Дата:</w:t>
          </w:r>
        </w:p>
      </w:tc>
    </w:tr>
    <w:tr>
      <w:trPr>
        <w:cantSplit/>
      </w:trPr>
      <w:tc>
        <w:tcPr>
          <w:tcW w:w="1384" w:type="dxa"/>
          <w:tcBorders>
            <w:top w:val="single" w:sz="12" w:space="0" w:color="000000"/>
            <w:start w:val="single" w:sz="12" w:space="0" w:color="000000"/>
            <w:bottom w:val="single" w:sz="6" w:space="0" w:color="000000"/>
            <w:end w:val="single" w:sz="6" w:space="0" w:color="000000"/>
          </w:tcBorders>
        </w:tcPr>
        <w:p>
          <w:pPr>
            <w:pStyle w:val="Header"/>
            <w:widowControl/>
            <w:rPr>
              <w:lang w:val="bg-BG"/>
            </w:rPr>
          </w:pPr>
          <w:r>
            <w:rPr>
              <w:lang w:val="bg-BG"/>
            </w:rPr>
            <w:t>Разработил:</w:t>
          </w:r>
        </w:p>
      </w:tc>
      <w:tc>
        <w:tcPr>
          <w:tcW w:w="6132" w:type="dxa"/>
          <w:gridSpan w:val="2"/>
          <w:tcBorders>
            <w:top w:val="single" w:sz="12" w:space="0" w:color="000000"/>
            <w:start w:val="single" w:sz="6" w:space="0" w:color="000000"/>
            <w:bottom w:val="single" w:sz="6" w:space="0" w:color="000000"/>
            <w:end w:val="single" w:sz="12" w:space="0" w:color="000000"/>
          </w:tcBorders>
        </w:tcPr>
        <w:p>
          <w:pPr>
            <w:pStyle w:val="Header"/>
            <w:widowControl/>
            <w:rPr>
              <w:lang w:val="bg-BG"/>
            </w:rPr>
          </w:pPr>
          <w:r>
            <w:rPr>
              <w:lang w:val="bg-BG"/>
            </w:rPr>
            <w:t>Мениджър по качеството</w:t>
          </w:r>
        </w:p>
      </w:tc>
      <w:tc>
        <w:tcPr>
          <w:tcW w:w="1115" w:type="dxa"/>
          <w:tcBorders>
            <w:top w:val="single" w:sz="12" w:space="0" w:color="000000"/>
            <w:bottom w:val="single" w:sz="6" w:space="0" w:color="000000"/>
            <w:end w:val="single" w:sz="6" w:space="0" w:color="000000"/>
          </w:tcBorders>
        </w:tcPr>
        <w:p>
          <w:pPr>
            <w:pStyle w:val="Header"/>
            <w:widowControl/>
            <w:snapToGrid w:val="false"/>
            <w:rPr>
              <w:lang w:val="bg-BG"/>
            </w:rPr>
          </w:pPr>
          <w:r>
            <w:rPr>
              <w:lang w:val="bg-BG"/>
            </w:rPr>
          </w:r>
        </w:p>
      </w:tc>
      <w:tc>
        <w:tcPr>
          <w:tcW w:w="1258" w:type="dxa"/>
          <w:tcBorders>
            <w:top w:val="single" w:sz="12" w:space="0" w:color="000000"/>
            <w:start w:val="single" w:sz="6" w:space="0" w:color="000000"/>
            <w:bottom w:val="single" w:sz="6" w:space="0" w:color="000000"/>
            <w:end w:val="single" w:sz="12" w:space="0" w:color="000000"/>
          </w:tcBorders>
        </w:tcPr>
        <w:p>
          <w:pPr>
            <w:pStyle w:val="Header"/>
            <w:widowControl/>
            <w:rPr>
              <w:lang w:val="bg-BG"/>
            </w:rPr>
          </w:pPr>
          <w:r>
            <w:rPr>
              <w:lang w:val="en-US"/>
            </w:rPr>
            <w:t>0</w:t>
          </w:r>
          <w:r>
            <w:rPr>
              <w:lang w:val="bg-BG"/>
            </w:rPr>
            <w:t>7.</w:t>
          </w:r>
          <w:r>
            <w:rPr>
              <w:lang w:val="en-US"/>
            </w:rPr>
            <w:t>11</w:t>
          </w:r>
          <w:r>
            <w:rPr>
              <w:lang w:val="bg-BG"/>
            </w:rPr>
            <w:t>.201</w:t>
          </w:r>
          <w:r>
            <w:rPr>
              <w:lang w:val="en-US"/>
            </w:rPr>
            <w:t>9</w:t>
          </w:r>
        </w:p>
      </w:tc>
    </w:tr>
    <w:tr>
      <w:trPr>
        <w:cantSplit/>
      </w:trPr>
      <w:tc>
        <w:tcPr>
          <w:tcW w:w="1384" w:type="dxa"/>
          <w:tcBorders>
            <w:top w:val="single" w:sz="6" w:space="0" w:color="000000"/>
            <w:start w:val="single" w:sz="12" w:space="0" w:color="000000"/>
            <w:bottom w:val="single" w:sz="12" w:space="0" w:color="000000"/>
            <w:end w:val="single" w:sz="6" w:space="0" w:color="000000"/>
          </w:tcBorders>
        </w:tcPr>
        <w:p>
          <w:pPr>
            <w:pStyle w:val="Header"/>
            <w:widowControl/>
            <w:rPr/>
          </w:pPr>
          <w:r>
            <w:rPr>
              <w:lang w:val="en-US"/>
            </w:rPr>
            <w:t>Утвърдил</w:t>
          </w:r>
          <w:r>
            <w:rPr>
              <w:lang w:val="bg-BG"/>
            </w:rPr>
            <w:t>:</w:t>
          </w:r>
        </w:p>
      </w:tc>
      <w:tc>
        <w:tcPr>
          <w:tcW w:w="6132" w:type="dxa"/>
          <w:gridSpan w:val="2"/>
          <w:tcBorders>
            <w:top w:val="single" w:sz="6" w:space="0" w:color="000000"/>
            <w:start w:val="single" w:sz="6" w:space="0" w:color="000000"/>
            <w:bottom w:val="single" w:sz="12" w:space="0" w:color="000000"/>
            <w:end w:val="single" w:sz="12" w:space="0" w:color="000000"/>
          </w:tcBorders>
        </w:tcPr>
        <w:p>
          <w:pPr>
            <w:pStyle w:val="Header"/>
            <w:widowControl/>
            <w:rPr>
              <w:lang w:val="bg-BG"/>
            </w:rPr>
          </w:pPr>
          <w:r>
            <w:rPr>
              <w:lang w:val="bg-BG"/>
            </w:rPr>
            <w:t>Управител</w:t>
          </w:r>
        </w:p>
      </w:tc>
      <w:tc>
        <w:tcPr>
          <w:tcW w:w="1115" w:type="dxa"/>
          <w:tcBorders>
            <w:top w:val="single" w:sz="6" w:space="0" w:color="000000"/>
            <w:bottom w:val="single" w:sz="12" w:space="0" w:color="000000"/>
            <w:end w:val="single" w:sz="6" w:space="0" w:color="000000"/>
          </w:tcBorders>
        </w:tcPr>
        <w:p>
          <w:pPr>
            <w:pStyle w:val="Header"/>
            <w:widowControl/>
            <w:snapToGrid w:val="false"/>
            <w:rPr>
              <w:lang w:val="bg-BG"/>
            </w:rPr>
          </w:pPr>
          <w:r>
            <w:rPr>
              <w:lang w:val="bg-BG"/>
            </w:rPr>
          </w:r>
        </w:p>
      </w:tc>
      <w:tc>
        <w:tcPr>
          <w:tcW w:w="1258" w:type="dxa"/>
          <w:tcBorders>
            <w:top w:val="single" w:sz="6" w:space="0" w:color="000000"/>
            <w:start w:val="single" w:sz="6" w:space="0" w:color="000000"/>
            <w:bottom w:val="single" w:sz="12" w:space="0" w:color="000000"/>
            <w:end w:val="single" w:sz="12" w:space="0" w:color="000000"/>
          </w:tcBorders>
        </w:tcPr>
        <w:p>
          <w:pPr>
            <w:pStyle w:val="Header"/>
            <w:widowControl/>
            <w:rPr>
              <w:lang w:val="bg-BG"/>
            </w:rPr>
          </w:pPr>
          <w:r>
            <w:rPr>
              <w:lang w:val="en-US"/>
            </w:rPr>
            <w:t>0</w:t>
          </w:r>
          <w:r>
            <w:rPr>
              <w:lang w:val="bg-BG"/>
            </w:rPr>
            <w:t>7.</w:t>
          </w:r>
          <w:r>
            <w:rPr>
              <w:lang w:val="en-US"/>
            </w:rPr>
            <w:t>11</w:t>
          </w:r>
          <w:r>
            <w:rPr>
              <w:lang w:val="bg-BG"/>
            </w:rPr>
            <w:t>.201</w:t>
          </w:r>
          <w:r>
            <w:rPr>
              <w:lang w:val="en-US"/>
            </w:rPr>
            <w:t>9</w:t>
          </w:r>
        </w:p>
      </w:tc>
    </w:tr>
  </w:tbl>
  <w:p>
    <w:pPr>
      <w:pStyle w:val="Header"/>
      <w:widowContro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40" w:hanging="34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360"/>
        </w:tabs>
        <w:ind w:start="340" w:hanging="340"/>
      </w:pPr>
      <w:rPr>
        <w:rFonts w:ascii="Symbol" w:hAnsi="Symbol" w:cs="Symbol" w:hint="default"/>
      </w:rPr>
    </w:lvl>
  </w:abstractNum>
  <w:abstractNum w:abstractNumId="5">
    <w:lvl w:ilvl="0">
      <w:start w:val="1"/>
      <w:numFmt w:val="bullet"/>
      <w:lvlText w:val=""/>
      <w:lvlJc w:val="start"/>
      <w:pPr>
        <w:tabs>
          <w:tab w:val="num" w:pos="360"/>
        </w:tabs>
        <w:ind w:start="227" w:hanging="227"/>
      </w:pPr>
      <w:rPr>
        <w:rFonts w:ascii="Symbol" w:hAnsi="Symbol" w:cs="Symbol" w:hint="default"/>
      </w:rPr>
    </w:lvl>
  </w:abstractNum>
  <w:abstractNum w:abstractNumId="6">
    <w:lvl w:ilvl="0">
      <w:start w:val="1"/>
      <w:numFmt w:val="bullet"/>
      <w:lvlText w:val=""/>
      <w:lvlJc w:val="start"/>
      <w:pPr>
        <w:tabs>
          <w:tab w:val="num" w:pos="360"/>
        </w:tabs>
        <w:ind w:start="340" w:hanging="340"/>
      </w:pPr>
      <w:rPr>
        <w:rFonts w:ascii="Symbol" w:hAnsi="Symbol" w:cs="Symbol" w:hint="default"/>
      </w:rPr>
    </w:lvl>
  </w:abstractNum>
  <w:abstractNum w:abstractNumId="7">
    <w:lvl w:ilvl="0">
      <w:start w:val="1"/>
      <w:numFmt w:val="bullet"/>
      <w:lvlText w:val=""/>
      <w:lvlJc w:val="start"/>
      <w:pPr>
        <w:tabs>
          <w:tab w:val="num" w:pos="360"/>
        </w:tabs>
        <w:ind w:start="340" w:hanging="340"/>
      </w:pPr>
      <w:rPr>
        <w:rFonts w:ascii="Symbol" w:hAnsi="Symbol" w:cs="Symbol" w:hint="default"/>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abstractNum w:abstractNumId="9">
    <w:lvl w:ilvl="0">
      <w:start w:val="1"/>
      <w:numFmt w:val="bullet"/>
      <w:lvlText w:val=""/>
      <w:lvlJc w:val="start"/>
      <w:pPr>
        <w:tabs>
          <w:tab w:val="num" w:pos="360"/>
        </w:tabs>
        <w:ind w:start="340" w:hanging="340"/>
      </w:pPr>
      <w:rPr>
        <w:rFonts w:ascii="Symbol" w:hAnsi="Symbol" w:cs="Symbol" w:hint="default"/>
      </w:rPr>
    </w:lvl>
  </w:abstractNum>
  <w:abstractNum w:abstractNumId="10">
    <w:lvl w:ilvl="0">
      <w:start w:val="1"/>
      <w:numFmt w:val="bullet"/>
      <w:lvlText w:val=""/>
      <w:lvlJc w:val="start"/>
      <w:pPr>
        <w:tabs>
          <w:tab w:val="num" w:pos="360"/>
        </w:tabs>
        <w:ind w:start="340" w:hanging="340"/>
      </w:pPr>
      <w:rPr>
        <w:rFonts w:ascii="Symbol" w:hAnsi="Symbol" w:cs="Symbol" w:hint="default"/>
      </w:rPr>
    </w:lvl>
  </w:abstractNum>
  <w:abstractNum w:abstractNumId="11">
    <w:lvl w:ilvl="0">
      <w:start w:val="1"/>
      <w:numFmt w:val="bullet"/>
      <w:lvlText w:val=""/>
      <w:lvlJc w:val="start"/>
      <w:pPr>
        <w:tabs>
          <w:tab w:val="num" w:pos="360"/>
        </w:tabs>
        <w:ind w:start="340" w:hanging="340"/>
      </w:pPr>
      <w:rPr>
        <w:rFonts w:ascii="Symbol" w:hAnsi="Symbol" w:cs="Symbol" w:hint="default"/>
      </w:rPr>
    </w:lvl>
  </w:abstractNum>
  <w:abstractNum w:abstractNumId="12">
    <w:lvl w:ilvl="0">
      <w:start w:val="1"/>
      <w:numFmt w:val="bullet"/>
      <w:lvlText w:val=""/>
      <w:lvlJc w:val="start"/>
      <w:pPr>
        <w:tabs>
          <w:tab w:val="num" w:pos="360"/>
        </w:tabs>
        <w:ind w:start="340" w:hanging="340"/>
      </w:pPr>
      <w:rPr>
        <w:rFonts w:ascii="Symbol" w:hAnsi="Symbol" w:cs="Symbol" w:hint="default"/>
      </w:rPr>
    </w:lvl>
  </w:abstractNum>
  <w:abstractNum w:abstractNumId="13">
    <w:lvl w:ilvl="0">
      <w:start w:val="1"/>
      <w:numFmt w:val="bullet"/>
      <w:lvlText w:val=""/>
      <w:lvlJc w:val="start"/>
      <w:pPr>
        <w:tabs>
          <w:tab w:val="num" w:pos="360"/>
        </w:tabs>
        <w:ind w:start="340" w:hanging="340"/>
      </w:pPr>
      <w:rPr>
        <w:rFonts w:ascii="Symbol" w:hAnsi="Symbol" w:cs="Symbol" w:hint="default"/>
      </w:rPr>
    </w:lvl>
  </w:abstractNum>
  <w:abstractNum w:abstractNumId="14">
    <w:lvl w:ilvl="0">
      <w:start w:val="1"/>
      <w:numFmt w:val="bullet"/>
      <w:lvlText w:val=""/>
      <w:lvlJc w:val="start"/>
      <w:pPr>
        <w:tabs>
          <w:tab w:val="num" w:pos="360"/>
        </w:tabs>
        <w:ind w:start="340" w:hanging="340"/>
      </w:pPr>
      <w:rPr>
        <w:rFonts w:ascii="Symbol" w:hAnsi="Symbol" w:cs="Symbol" w:hint="default"/>
      </w:rPr>
    </w:lvl>
  </w:abstractNum>
  <w:abstractNum w:abstractNumId="15">
    <w:lvl w:ilvl="0">
      <w:start w:val="1"/>
      <w:numFmt w:val="bullet"/>
      <w:lvlText w:val=""/>
      <w:lvlJc w:val="start"/>
      <w:pPr>
        <w:tabs>
          <w:tab w:val="num" w:pos="360"/>
        </w:tabs>
        <w:ind w:start="340" w:hanging="34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sz w:val="24"/>
      <w:lang w:val="bg-BG"/>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2z0">
    <w:name w:val="WW8Num32z0"/>
    <w:qFormat/>
    <w:rPr>
      <w:rFonts w:ascii="Symbol" w:hAnsi="Symbol" w:cs="Symbol"/>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WW8Num35z0">
    <w:name w:val="WW8Num35z0"/>
    <w:qFormat/>
    <w:rPr>
      <w:rFonts w:ascii="Symbol" w:hAnsi="Symbol" w:cs="Symbol"/>
    </w:rPr>
  </w:style>
  <w:style w:type="character" w:styleId="WW8Num36z0">
    <w:name w:val="WW8Num36z0"/>
    <w:qFormat/>
    <w:rPr>
      <w:rFonts w:ascii="Symbol" w:hAnsi="Symbol" w:cs="Symbol"/>
    </w:rPr>
  </w:style>
  <w:style w:type="character" w:styleId="WW8Num37z0">
    <w:name w:val="WW8Num37z0"/>
    <w:qFormat/>
    <w:rPr>
      <w:rFonts w:ascii="Symbol" w:hAnsi="Symbol" w:cs="Symbol"/>
    </w:rPr>
  </w:style>
  <w:style w:type="character" w:styleId="WW8Num38z0">
    <w:name w:val="WW8Num38z0"/>
    <w:qFormat/>
    <w:rPr>
      <w:rFonts w:ascii="Symbol" w:hAnsi="Symbol" w:cs="Symbol"/>
    </w:rPr>
  </w:style>
  <w:style w:type="character" w:styleId="WW8Num39z0">
    <w:name w:val="WW8Num39z0"/>
    <w:qFormat/>
    <w:rPr>
      <w:rFonts w:ascii="Symbol" w:hAnsi="Symbol" w:cs="Symbol"/>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PageNumber">
    <w:name w:val="page number"/>
    <w:rPr>
      <w:sz w:val="20"/>
    </w:rPr>
  </w:style>
  <w:style w:type="character" w:styleId="CommentReference">
    <w:name w:val="Comment Reference"/>
    <w:qFormat/>
    <w:rPr>
      <w:sz w:val="16"/>
    </w:rPr>
  </w:style>
  <w:style w:type="paragraph" w:styleId="Style12">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jc w:val="both"/>
    </w:pPr>
    <w:rPr>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
    <w:basedOn w:val="Normal"/>
    <w:qFormat/>
    <w:pPr>
      <w:suppressLineNumbers/>
    </w:pPr>
    <w:rPr>
      <w:rFonts w:cs="Arial"/>
    </w:rPr>
  </w:style>
  <w:style w:type="paragraph" w:styleId="Style14">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tyle>
  <w:style w:type="paragraph" w:styleId="BodyText2">
    <w:name w:val="Body Text 2"/>
    <w:basedOn w:val="Normal"/>
    <w:qFormat/>
    <w:pPr/>
    <w:rPr>
      <w:sz w:val="24"/>
      <w:lang w:val="bg-BG"/>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2001-10-14T13:55:00Z</dcterms:created>
  <dc:creator>MM</dc:creator>
  <dc:description/>
  <cp:keywords/>
  <dc:language>bg-BG</dc:language>
  <cp:lastModifiedBy>Julia</cp:lastModifiedBy>
  <cp:lastPrinted>2001-11-29T11:09:00Z</cp:lastPrinted>
  <dcterms:modified xsi:type="dcterms:W3CDTF">2019-11-06T21:36:00Z</dcterms:modified>
  <cp:revision>98</cp:revision>
  <dc:subject>Процедурен документ</dc:subject>
  <dc:title>Вътрешни одити</dc:title>
</cp:coreProperties>
</file>