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ab/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създаде система за планиране на </w:t>
      </w:r>
      <w:r>
        <w:rPr>
          <w:sz w:val="22"/>
          <w:lang w:val="bg-BG"/>
        </w:rPr>
        <w:t xml:space="preserve">интегрираната система за управление на качеството, околната среда и здравословните и безопасни условия на труд </w:t>
      </w:r>
      <w:r>
        <w:rPr>
          <w:sz w:val="22"/>
        </w:rPr>
        <w:t xml:space="preserve">и </w:t>
      </w:r>
      <w:r>
        <w:rPr>
          <w:sz w:val="22"/>
          <w:lang w:val="bg-BG"/>
        </w:rPr>
        <w:t xml:space="preserve">да се осигури </w:t>
      </w:r>
      <w:r>
        <w:rPr>
          <w:sz w:val="22"/>
        </w:rPr>
        <w:t>периодично преразглеждане на нейната ефективност.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Всички елементи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</w:t>
      </w:r>
      <w:r>
        <w:rPr>
          <w:sz w:val="22"/>
          <w:lang w:val="bg-BG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  <w:lang w:val="bg-BG"/>
        </w:rPr>
      </w:pPr>
      <w:r>
        <w:rPr>
          <w:color w:val="FF0000"/>
          <w:sz w:val="22"/>
          <w:lang w:val="bg-BG"/>
        </w:rPr>
        <w:t>няма</w:t>
      </w:r>
    </w:p>
    <w:p>
      <w:pPr>
        <w:pStyle w:val="Normal"/>
        <w:rPr>
          <w:b/>
          <w:color w:val="FF0000"/>
          <w:sz w:val="22"/>
          <w:u w:val="single"/>
          <w:lang w:val="bg-BG"/>
        </w:rPr>
      </w:pPr>
      <w:r>
        <w:rPr>
          <w:b/>
          <w:color w:val="FF0000"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>ISO</w:t>
      </w:r>
      <w:r>
        <w:rPr>
          <w:sz w:val="22"/>
          <w:lang w:val="bg-BG"/>
        </w:rPr>
        <w:t xml:space="preserve"> </w:t>
      </w:r>
      <w:r>
        <w:rPr>
          <w:sz w:val="22"/>
        </w:rPr>
        <w:t>9001:2015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 – </w:t>
      </w:r>
      <w:r>
        <w:rPr>
          <w:sz w:val="22"/>
          <w:lang w:val="bg-BG"/>
        </w:rPr>
        <w:t xml:space="preserve">Клаузи </w:t>
      </w:r>
      <w:r>
        <w:rPr>
          <w:sz w:val="22"/>
        </w:rPr>
        <w:t xml:space="preserve">4    : </w:t>
      </w:r>
      <w:r>
        <w:rPr>
          <w:sz w:val="22"/>
          <w:lang w:val="bg-BG"/>
        </w:rPr>
        <w:t>Контекст на Организацията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</w:t>
      </w:r>
      <w:r>
        <w:rPr>
          <w:sz w:val="22"/>
        </w:rPr>
        <w:t>ISO</w:t>
      </w:r>
      <w:r>
        <w:rPr>
          <w:sz w:val="22"/>
          <w:lang w:val="bg-BG"/>
        </w:rPr>
        <w:t xml:space="preserve"> 14</w:t>
      </w:r>
      <w:r>
        <w:rPr>
          <w:sz w:val="22"/>
        </w:rPr>
        <w:t>001:2015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              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6    : </w:t>
      </w:r>
      <w:r>
        <w:rPr>
          <w:sz w:val="22"/>
          <w:lang w:val="bg-BG"/>
        </w:rPr>
        <w:t>Планиране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</w:t>
      </w:r>
      <w:r>
        <w:rPr>
          <w:sz w:val="22"/>
        </w:rPr>
        <w:t>ISO 45001</w:t>
      </w:r>
      <w:r>
        <w:rPr>
          <w:sz w:val="22"/>
          <w:lang w:val="bg-BG"/>
        </w:rPr>
        <w:t xml:space="preserve"> </w:t>
      </w:r>
      <w:r>
        <w:rPr>
          <w:sz w:val="22"/>
        </w:rPr>
        <w:t>:2018</w:t>
      </w:r>
      <w:r>
        <w:rPr>
          <w:sz w:val="22"/>
          <w:lang w:val="bg-BG"/>
        </w:rPr>
        <w:t xml:space="preserve">       </w:t>
      </w:r>
      <w:r>
        <w:rPr>
          <w:sz w:val="22"/>
        </w:rPr>
        <w:t xml:space="preserve">         7.1 : </w:t>
      </w:r>
      <w:r>
        <w:rPr>
          <w:sz w:val="22"/>
          <w:lang w:val="bg-BG"/>
        </w:rPr>
        <w:t>Ресурси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                                    </w:t>
      </w:r>
      <w:r>
        <w:rPr>
          <w:sz w:val="22"/>
          <w:lang w:val="bg-BG"/>
        </w:rPr>
        <w:t xml:space="preserve">       </w:t>
      </w:r>
      <w:r>
        <w:rPr>
          <w:sz w:val="22"/>
        </w:rPr>
        <w:t xml:space="preserve">9.3 : </w:t>
      </w:r>
      <w:r>
        <w:rPr>
          <w:sz w:val="22"/>
          <w:lang w:val="bg-BG"/>
        </w:rPr>
        <w:t>Преглед на ръководството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Управител</w:t>
      </w:r>
    </w:p>
    <w:p>
      <w:pPr>
        <w:pStyle w:val="Normal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е отговорен за изпълнението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предоставя ресурси за изпълнението на тази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2"/>
        <w:ind w:firstLine="720" w:start="0" w:end="0"/>
        <w:rPr>
          <w:lang w:val="bg-BG"/>
        </w:rPr>
      </w:pPr>
      <w:r>
        <w:rPr>
          <w:lang w:val="bg-BG"/>
        </w:rPr>
        <w:t>Упълномощен представител на ръководството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Те са отговорни за изпълнението на </w:t>
      </w:r>
      <w:r>
        <w:rPr>
          <w:sz w:val="22"/>
          <w:lang w:val="bg-BG"/>
        </w:rPr>
        <w:t>И</w:t>
      </w:r>
      <w:r>
        <w:rPr>
          <w:sz w:val="22"/>
        </w:rPr>
        <w:t>СУ и отчитане на работата в</w:t>
      </w:r>
      <w:r>
        <w:rPr>
          <w:sz w:val="22"/>
          <w:lang w:val="bg-BG"/>
        </w:rPr>
        <w:t>ъв</w:t>
      </w:r>
      <w:r>
        <w:rPr>
          <w:sz w:val="22"/>
        </w:rPr>
        <w:t xml:space="preserve"> </w:t>
      </w:r>
      <w:r>
        <w:rPr>
          <w:sz w:val="22"/>
          <w:lang w:val="bg-BG"/>
        </w:rPr>
        <w:t>всички отделни звена на Организацията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 xml:space="preserve">Управителят </w:t>
      </w:r>
      <w:r>
        <w:rPr>
          <w:sz w:val="22"/>
        </w:rPr>
        <w:t xml:space="preserve">свиква заседание </w:t>
      </w:r>
      <w:r>
        <w:rPr>
          <w:sz w:val="22"/>
          <w:lang w:val="bg-BG"/>
        </w:rPr>
        <w:t>за мониторинг на Планирането по ИСУ</w:t>
      </w:r>
      <w:r>
        <w:rPr>
          <w:sz w:val="22"/>
        </w:rPr>
        <w:t xml:space="preserve"> и </w:t>
      </w:r>
      <w:r>
        <w:rPr>
          <w:sz w:val="22"/>
          <w:lang w:val="bg-BG"/>
        </w:rPr>
        <w:t>преглед на ръководството</w:t>
      </w:r>
      <w:r>
        <w:rPr>
          <w:sz w:val="22"/>
        </w:rPr>
        <w:t xml:space="preserve"> </w:t>
      </w:r>
      <w:r>
        <w:rPr>
          <w:sz w:val="22"/>
          <w:lang w:val="bg-BG"/>
        </w:rPr>
        <w:t>на</w:t>
      </w:r>
      <w:r>
        <w:rPr>
          <w:sz w:val="22"/>
        </w:rPr>
        <w:t xml:space="preserve"> максимален интервал от шест месеца, или когато е необходимо.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Участниците в тази среща </w:t>
      </w:r>
      <w:r>
        <w:rPr>
          <w:sz w:val="22"/>
          <w:lang w:val="bg-BG"/>
        </w:rPr>
        <w:t>са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УПР по ИСУ, Ръководители на </w:t>
      </w:r>
      <w:r>
        <w:rPr>
          <w:sz w:val="22"/>
        </w:rPr>
        <w:t>отдели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и други, </w:t>
      </w:r>
      <w:r>
        <w:rPr>
          <w:sz w:val="22"/>
          <w:lang w:val="bg-BG"/>
        </w:rPr>
        <w:t>които са предварително поканени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Тъй като </w:t>
      </w:r>
      <w:r>
        <w:rPr>
          <w:sz w:val="22"/>
          <w:lang w:val="bg-BG"/>
        </w:rPr>
        <w:t>И</w:t>
      </w:r>
      <w:r>
        <w:rPr>
          <w:sz w:val="22"/>
        </w:rPr>
        <w:t>СУ хоризонт</w:t>
      </w:r>
      <w:r>
        <w:rPr>
          <w:sz w:val="22"/>
          <w:lang w:val="bg-BG"/>
        </w:rPr>
        <w:t>ите</w:t>
      </w:r>
      <w:r>
        <w:rPr>
          <w:sz w:val="22"/>
        </w:rPr>
        <w:t xml:space="preserve"> на планиране </w:t>
      </w:r>
      <w:r>
        <w:rPr>
          <w:sz w:val="22"/>
          <w:lang w:val="bg-BG"/>
        </w:rPr>
        <w:t xml:space="preserve">на Организацията са за срок от </w:t>
      </w:r>
      <w:r>
        <w:rPr>
          <w:sz w:val="22"/>
        </w:rPr>
        <w:t xml:space="preserve"> дванадесет месеца</w:t>
      </w:r>
      <w:r>
        <w:rPr>
          <w:sz w:val="22"/>
          <w:lang w:val="bg-BG"/>
        </w:rPr>
        <w:t>, а задължителния интервал на заседания е шест месеца, Ръководството свиква алтернативни срещи, като Планирането по ИСУ и прегледът на ръководството се извършва на всяка среща на всеки шест месеца.</w:t>
      </w:r>
    </w:p>
    <w:p>
      <w:pPr>
        <w:pStyle w:val="Normal"/>
        <w:ind w:firstLine="390" w:end="0"/>
        <w:jc w:val="both"/>
        <w:rPr>
          <w:sz w:val="22"/>
          <w:lang w:val="bg-BG"/>
        </w:rPr>
      </w:pPr>
      <w:r>
        <w:rPr>
          <w:sz w:val="22"/>
        </w:rPr>
        <w:t>Годишни</w:t>
      </w:r>
      <w:r>
        <w:rPr>
          <w:sz w:val="22"/>
          <w:lang w:val="bg-BG"/>
        </w:rPr>
        <w:t>те</w:t>
      </w:r>
      <w:r>
        <w:rPr>
          <w:sz w:val="22"/>
        </w:rPr>
        <w:t xml:space="preserve"> цели с</w:t>
      </w:r>
      <w:r>
        <w:rPr>
          <w:sz w:val="22"/>
          <w:lang w:val="bg-BG"/>
        </w:rPr>
        <w:t>е</w:t>
      </w:r>
      <w:r>
        <w:rPr>
          <w:sz w:val="22"/>
        </w:rPr>
        <w:t xml:space="preserve"> установ</w:t>
      </w:r>
      <w:r>
        <w:rPr>
          <w:sz w:val="22"/>
          <w:lang w:val="bg-BG"/>
        </w:rPr>
        <w:t>яват</w:t>
      </w:r>
      <w:r>
        <w:rPr>
          <w:sz w:val="22"/>
        </w:rPr>
        <w:t xml:space="preserve"> по време на вс</w:t>
      </w:r>
      <w:r>
        <w:rPr>
          <w:sz w:val="22"/>
          <w:lang w:val="bg-BG"/>
        </w:rPr>
        <w:t>ички</w:t>
      </w:r>
      <w:r>
        <w:rPr>
          <w:sz w:val="22"/>
        </w:rPr>
        <w:t xml:space="preserve"> алтернатив</w:t>
      </w:r>
      <w:r>
        <w:rPr>
          <w:sz w:val="22"/>
          <w:lang w:val="bg-BG"/>
        </w:rPr>
        <w:t>ни</w:t>
      </w:r>
      <w:r>
        <w:rPr>
          <w:sz w:val="22"/>
        </w:rPr>
        <w:t xml:space="preserve"> срещ</w:t>
      </w:r>
      <w:r>
        <w:rPr>
          <w:sz w:val="22"/>
          <w:lang w:val="bg-BG"/>
        </w:rPr>
        <w:t>и</w:t>
      </w:r>
      <w:r>
        <w:rPr>
          <w:sz w:val="22"/>
        </w:rPr>
        <w:t xml:space="preserve">, преглеждат </w:t>
      </w:r>
      <w:r>
        <w:rPr>
          <w:sz w:val="22"/>
          <w:lang w:val="bg-BG"/>
        </w:rPr>
        <w:t xml:space="preserve">се </w:t>
      </w:r>
      <w:r>
        <w:rPr>
          <w:sz w:val="22"/>
        </w:rPr>
        <w:t xml:space="preserve">и </w:t>
      </w:r>
      <w:r>
        <w:rPr>
          <w:sz w:val="22"/>
          <w:lang w:val="bg-BG"/>
        </w:rPr>
        <w:t xml:space="preserve">се </w:t>
      </w:r>
      <w:r>
        <w:rPr>
          <w:sz w:val="22"/>
        </w:rPr>
        <w:t>изменят (ако е необходимо) по време на всяка среща.</w:t>
      </w:r>
    </w:p>
    <w:p>
      <w:pPr>
        <w:pStyle w:val="Normal"/>
        <w:ind w:firstLine="39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3"/>
        <w:numPr>
          <w:ilvl w:val="0"/>
          <w:numId w:val="2"/>
        </w:numPr>
        <w:ind w:hanging="0" w:start="0"/>
        <w:rPr/>
      </w:pPr>
      <w:r>
        <w:rPr>
          <w:lang w:val="bg-BG"/>
        </w:rPr>
        <w:t>Планиране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/>
      </w:pPr>
      <w:r>
        <w:rPr/>
        <w:t>A.1 Действия за справяне с рискове и възможности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При планиране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системата за управление, </w:t>
      </w:r>
      <w:r>
        <w:rPr>
          <w:color w:val="FF0000"/>
          <w:sz w:val="22"/>
        </w:rPr>
        <w:t>нашата организация</w:t>
      </w:r>
      <w:r>
        <w:rPr>
          <w:sz w:val="22"/>
        </w:rPr>
        <w:t xml:space="preserve"> </w:t>
      </w:r>
      <w:r>
        <w:rPr>
          <w:sz w:val="22"/>
          <w:lang w:val="bg-BG"/>
        </w:rPr>
        <w:t>отчита</w:t>
      </w:r>
      <w:r>
        <w:rPr>
          <w:sz w:val="22"/>
        </w:rPr>
        <w:t xml:space="preserve"> външните и вътрешните въпроси, които са свързани с не</w:t>
      </w:r>
      <w:r>
        <w:rPr>
          <w:sz w:val="22"/>
          <w:lang w:val="bg-BG"/>
        </w:rPr>
        <w:t>йното развитие</w:t>
      </w:r>
      <w:r>
        <w:rPr>
          <w:sz w:val="22"/>
        </w:rPr>
        <w:t xml:space="preserve"> и нейната стратегическа посока и които влияят върху способността</w:t>
      </w:r>
      <w:r>
        <w:rPr>
          <w:sz w:val="22"/>
          <w:lang w:val="bg-BG"/>
        </w:rPr>
        <w:t xml:space="preserve"> и</w:t>
      </w:r>
      <w:r>
        <w:rPr>
          <w:sz w:val="22"/>
        </w:rPr>
        <w:t xml:space="preserve"> да постиг</w:t>
      </w:r>
      <w:r>
        <w:rPr>
          <w:sz w:val="22"/>
          <w:lang w:val="bg-BG"/>
        </w:rPr>
        <w:t>а</w:t>
      </w:r>
      <w:r>
        <w:rPr>
          <w:sz w:val="22"/>
        </w:rPr>
        <w:t xml:space="preserve"> желани</w:t>
      </w:r>
      <w:r>
        <w:rPr>
          <w:sz w:val="22"/>
          <w:lang w:val="bg-BG"/>
        </w:rPr>
        <w:t>те</w:t>
      </w:r>
      <w:r>
        <w:rPr>
          <w:sz w:val="22"/>
        </w:rPr>
        <w:t xml:space="preserve"> резултати на своята </w:t>
      </w:r>
      <w:r>
        <w:rPr>
          <w:sz w:val="22"/>
          <w:lang w:val="bg-BG"/>
        </w:rPr>
        <w:t xml:space="preserve">интегрирана </w:t>
      </w:r>
      <w:r>
        <w:rPr>
          <w:sz w:val="22"/>
        </w:rPr>
        <w:t>система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(т.е., разбиране на </w:t>
      </w:r>
      <w:r>
        <w:rPr>
          <w:sz w:val="22"/>
          <w:lang w:val="bg-BG"/>
        </w:rPr>
        <w:t>контекста на Организацията)</w:t>
      </w:r>
      <w:r>
        <w:rPr>
          <w:sz w:val="22"/>
        </w:rPr>
        <w:t>, и на изискванията на съответните заинтересовани страни (т.е., разбиране на нуждите и очакванията на заинтересованите страни).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За по-добра яснота относно текущ</w:t>
      </w:r>
      <w:r>
        <w:rPr>
          <w:sz w:val="22"/>
          <w:lang w:val="bg-BG"/>
        </w:rPr>
        <w:t>ия контекст</w:t>
      </w:r>
      <w:r>
        <w:rPr>
          <w:sz w:val="22"/>
        </w:rPr>
        <w:t xml:space="preserve"> на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рганизацията, </w:t>
      </w:r>
      <w:r>
        <w:rPr>
          <w:sz w:val="22"/>
          <w:lang w:val="bg-BG"/>
        </w:rPr>
        <w:t>Управителят</w:t>
      </w:r>
      <w:r>
        <w:rPr>
          <w:sz w:val="22"/>
        </w:rPr>
        <w:t xml:space="preserve"> е подготвил документ, озаглавен </w:t>
      </w:r>
      <w:r>
        <w:rPr>
          <w:sz w:val="22"/>
          <w:lang w:val="bg-BG"/>
        </w:rPr>
        <w:t>Формуляр Контекст на Организацията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MR-QF-PR01-001). </w:t>
      </w:r>
      <w:r>
        <w:rPr>
          <w:sz w:val="22"/>
          <w:lang w:val="bg-BG"/>
        </w:rPr>
        <w:t>Мониторингът</w:t>
      </w:r>
      <w:r>
        <w:rPr>
          <w:sz w:val="22"/>
        </w:rPr>
        <w:t xml:space="preserve"> и прегледите </w:t>
      </w:r>
      <w:r>
        <w:rPr>
          <w:sz w:val="22"/>
          <w:lang w:val="bg-BG"/>
        </w:rPr>
        <w:t>от</w:t>
      </w:r>
      <w:r>
        <w:rPr>
          <w:sz w:val="22"/>
        </w:rPr>
        <w:t xml:space="preserve"> ръководството </w:t>
      </w:r>
      <w:r>
        <w:rPr>
          <w:sz w:val="22"/>
          <w:lang w:val="bg-BG"/>
        </w:rPr>
        <w:t>за</w:t>
      </w:r>
      <w:r>
        <w:rPr>
          <w:sz w:val="22"/>
        </w:rPr>
        <w:t xml:space="preserve"> проблемите и изискванията, </w:t>
      </w:r>
      <w:r>
        <w:rPr>
          <w:sz w:val="22"/>
          <w:lang w:val="bg-BG"/>
        </w:rPr>
        <w:t xml:space="preserve">както </w:t>
      </w:r>
      <w:r>
        <w:rPr>
          <w:sz w:val="22"/>
        </w:rPr>
        <w:t>и обновлени</w:t>
      </w:r>
      <w:r>
        <w:rPr>
          <w:sz w:val="22"/>
          <w:lang w:val="bg-BG"/>
        </w:rPr>
        <w:t>ето на</w:t>
      </w:r>
      <w:r>
        <w:rPr>
          <w:sz w:val="22"/>
        </w:rPr>
        <w:t xml:space="preserve"> този документ </w:t>
      </w:r>
      <w:r>
        <w:rPr>
          <w:sz w:val="22"/>
          <w:lang w:val="bg-BG"/>
        </w:rPr>
        <w:t xml:space="preserve">се извършва </w:t>
      </w:r>
      <w:r>
        <w:rPr>
          <w:sz w:val="22"/>
        </w:rPr>
        <w:t>при максимален интервал от шест месеца.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Поддържане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</w:t>
      </w:r>
      <w:r>
        <w:rPr>
          <w:sz w:val="22"/>
          <w:lang w:val="bg-BG"/>
        </w:rPr>
        <w:t>Контекста на Организацията изисква да бъдат о</w:t>
      </w:r>
      <w:r>
        <w:rPr>
          <w:sz w:val="22"/>
        </w:rPr>
        <w:t>предел</w:t>
      </w:r>
      <w:r>
        <w:rPr>
          <w:sz w:val="22"/>
          <w:lang w:val="bg-BG"/>
        </w:rPr>
        <w:t>ени</w:t>
      </w:r>
      <w:r>
        <w:rPr>
          <w:sz w:val="22"/>
        </w:rPr>
        <w:t xml:space="preserve"> рисковете и възможностите, за да</w:t>
      </w:r>
      <w:r>
        <w:rPr>
          <w:sz w:val="22"/>
          <w:lang w:val="bg-BG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а) </w:t>
      </w:r>
      <w:r>
        <w:rPr>
          <w:sz w:val="22"/>
          <w:lang w:val="bg-BG"/>
        </w:rPr>
        <w:t xml:space="preserve">се </w:t>
      </w:r>
      <w:r>
        <w:rPr>
          <w:sz w:val="22"/>
        </w:rPr>
        <w:t>дад</w:t>
      </w:r>
      <w:r>
        <w:rPr>
          <w:sz w:val="22"/>
          <w:lang w:val="bg-BG"/>
        </w:rPr>
        <w:t xml:space="preserve">ат </w:t>
      </w:r>
      <w:r>
        <w:rPr>
          <w:sz w:val="22"/>
        </w:rPr>
        <w:t xml:space="preserve">гаранции, че системата за управление може да постигне </w:t>
      </w:r>
      <w:r>
        <w:rPr>
          <w:sz w:val="22"/>
          <w:lang w:val="bg-BG"/>
        </w:rPr>
        <w:t>планираните резултати;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б) </w:t>
      </w:r>
      <w:r>
        <w:rPr>
          <w:sz w:val="22"/>
          <w:lang w:val="bg-BG"/>
        </w:rPr>
        <w:t xml:space="preserve">се </w:t>
      </w:r>
      <w:r>
        <w:rPr>
          <w:sz w:val="22"/>
        </w:rPr>
        <w:t>засил</w:t>
      </w:r>
      <w:r>
        <w:rPr>
          <w:sz w:val="22"/>
          <w:lang w:val="bg-BG"/>
        </w:rPr>
        <w:t>ят</w:t>
      </w:r>
      <w:r>
        <w:rPr>
          <w:sz w:val="22"/>
        </w:rPr>
        <w:t xml:space="preserve"> желаните ефекти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в) </w:t>
      </w:r>
      <w:r>
        <w:rPr>
          <w:sz w:val="22"/>
          <w:lang w:val="bg-BG"/>
        </w:rPr>
        <w:t xml:space="preserve">се </w:t>
      </w:r>
      <w:r>
        <w:rPr>
          <w:sz w:val="22"/>
        </w:rPr>
        <w:t>предотврат</w:t>
      </w:r>
      <w:r>
        <w:rPr>
          <w:sz w:val="22"/>
          <w:lang w:val="bg-BG"/>
        </w:rPr>
        <w:t>ят</w:t>
      </w:r>
      <w:r>
        <w:rPr>
          <w:sz w:val="22"/>
        </w:rPr>
        <w:t xml:space="preserve"> или нама</w:t>
      </w:r>
      <w:r>
        <w:rPr>
          <w:sz w:val="22"/>
          <w:lang w:val="bg-BG"/>
        </w:rPr>
        <w:t>лят</w:t>
      </w:r>
      <w:r>
        <w:rPr>
          <w:sz w:val="22"/>
        </w:rPr>
        <w:t xml:space="preserve"> нежелани</w:t>
      </w:r>
      <w:r>
        <w:rPr>
          <w:sz w:val="22"/>
          <w:lang w:val="bg-BG"/>
        </w:rPr>
        <w:t>те</w:t>
      </w:r>
      <w:r>
        <w:rPr>
          <w:sz w:val="22"/>
        </w:rPr>
        <w:t xml:space="preserve"> ефекти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rPr/>
      </w:pPr>
      <w:r>
        <w:rPr>
          <w:sz w:val="22"/>
        </w:rPr>
        <w:t xml:space="preserve">г) </w:t>
      </w:r>
      <w:r>
        <w:rPr>
          <w:sz w:val="22"/>
          <w:lang w:val="bg-BG"/>
        </w:rPr>
        <w:t xml:space="preserve">се </w:t>
      </w:r>
      <w:r>
        <w:rPr>
          <w:sz w:val="22"/>
        </w:rPr>
        <w:t>постиган</w:t>
      </w:r>
      <w:r>
        <w:rPr>
          <w:sz w:val="22"/>
          <w:lang w:val="bg-BG"/>
        </w:rPr>
        <w:t>ат</w:t>
      </w:r>
      <w:r>
        <w:rPr>
          <w:sz w:val="22"/>
        </w:rPr>
        <w:t xml:space="preserve"> подобрени</w:t>
      </w:r>
      <w:r>
        <w:rPr>
          <w:sz w:val="22"/>
          <w:lang w:val="bg-BG"/>
        </w:rPr>
        <w:t>я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След това, </w:t>
      </w:r>
      <w:r>
        <w:rPr>
          <w:sz w:val="22"/>
          <w:lang w:val="bg-BG"/>
        </w:rPr>
        <w:t>О</w:t>
      </w:r>
      <w:r>
        <w:rPr>
          <w:sz w:val="22"/>
        </w:rPr>
        <w:t>рганизацията планира</w:t>
      </w:r>
      <w:r>
        <w:rPr>
          <w:sz w:val="22"/>
          <w:lang w:val="bg-BG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- Действия за справяне с тези рискове и възможности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Как да се интегрират и осъществява</w:t>
      </w:r>
      <w:r>
        <w:rPr>
          <w:sz w:val="22"/>
          <w:lang w:val="bg-BG"/>
        </w:rPr>
        <w:t>т дейностите и процесите в интегрираната системата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Как да се направи оценка на ефективността на тези действия.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Висшето ръководство полага грижи, за да се гарантира, че действията, предприети за справяне с рискове и възможности, са пропорционални на потенциалното въздействие върху съответствието на продуктите и услугите.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Опции за справяне с рисковете могат да включват избягване на риска, премахването на източника на риска, промяна на вероятността или последствията, споделяне на риска, или запазване на риска </w:t>
      </w:r>
      <w:r>
        <w:rPr>
          <w:sz w:val="22"/>
          <w:lang w:val="bg-BG"/>
        </w:rPr>
        <w:t>като информирано решение.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Възможности</w:t>
      </w:r>
      <w:r>
        <w:rPr>
          <w:sz w:val="22"/>
          <w:lang w:val="bg-BG"/>
        </w:rPr>
        <w:t>те</w:t>
      </w:r>
      <w:r>
        <w:rPr>
          <w:sz w:val="22"/>
        </w:rPr>
        <w:t xml:space="preserve"> могат да доведат до приемането на нови практики, лансиране на нови продукти, откриване на нови пазари, адресиране на нови клиенти, изграждане на партньорства, използва</w:t>
      </w:r>
      <w:r>
        <w:rPr>
          <w:sz w:val="22"/>
          <w:lang w:val="bg-BG"/>
        </w:rPr>
        <w:t>не на</w:t>
      </w:r>
      <w:r>
        <w:rPr>
          <w:sz w:val="22"/>
        </w:rPr>
        <w:t xml:space="preserve"> нови технологии и други желани и жизнеспособни възможности за справяне с нуждите на организацията или</w:t>
      </w:r>
      <w:r>
        <w:rPr>
          <w:sz w:val="22"/>
          <w:lang w:val="bg-BG"/>
        </w:rPr>
        <w:t xml:space="preserve"> отговаряне на нуждите</w:t>
      </w:r>
      <w:r>
        <w:rPr>
          <w:sz w:val="22"/>
        </w:rPr>
        <w:t xml:space="preserve"> на нейните клиенти.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документира тези рискове и възможности в 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 xml:space="preserve">Протоколи от </w:t>
      </w:r>
      <w:r>
        <w:rPr>
          <w:sz w:val="22"/>
          <w:lang w:val="bg-BG"/>
        </w:rPr>
        <w:t xml:space="preserve">заседанията по Планиране на ИСУ и преглед на ръководството </w:t>
      </w:r>
      <w:r>
        <w:rPr>
          <w:sz w:val="22"/>
        </w:rPr>
        <w:t>(Q</w:t>
      </w:r>
      <w:r>
        <w:rPr>
          <w:sz w:val="22"/>
          <w:lang w:val="bg-BG"/>
        </w:rPr>
        <w:t>Е</w:t>
      </w:r>
      <w:r>
        <w:rPr>
          <w:sz w:val="22"/>
        </w:rPr>
        <w:t>MR-QF-PR01-003).</w:t>
      </w:r>
    </w:p>
    <w:p>
      <w:pPr>
        <w:pStyle w:val="Normal"/>
        <w:ind w:firstLine="720" w:end="0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A.2 Цели по качеството и планиране за постигането им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  <w:t xml:space="preserve">  </w:t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Нашата организация вече е създала своите цели </w:t>
      </w:r>
      <w:r>
        <w:rPr>
          <w:b w:val="false"/>
          <w:u w:val="none"/>
          <w:lang w:val="bg-BG" w:eastAsia="en-US"/>
        </w:rPr>
        <w:t xml:space="preserve">по ИСУ </w:t>
      </w:r>
      <w:r>
        <w:rPr>
          <w:b w:val="false"/>
          <w:u w:val="none"/>
          <w:lang w:eastAsia="en-US"/>
        </w:rPr>
        <w:t xml:space="preserve">на съответните </w:t>
      </w:r>
      <w:r>
        <w:rPr>
          <w:b w:val="false"/>
          <w:u w:val="none"/>
          <w:lang w:val="bg-BG" w:eastAsia="en-US"/>
        </w:rPr>
        <w:t>функционални области</w:t>
      </w:r>
      <w:r>
        <w:rPr>
          <w:b w:val="false"/>
          <w:u w:val="none"/>
          <w:lang w:eastAsia="en-US"/>
        </w:rPr>
        <w:t>, нива и процеси, необходими за системата за управлени</w:t>
      </w:r>
      <w:r>
        <w:rPr>
          <w:b w:val="false"/>
          <w:u w:val="none"/>
          <w:lang w:val="bg-BG" w:eastAsia="en-US"/>
        </w:rPr>
        <w:t>е</w:t>
      </w:r>
      <w:r>
        <w:rPr>
          <w:b w:val="false"/>
          <w:u w:val="none"/>
          <w:lang w:eastAsia="en-US"/>
        </w:rPr>
        <w:t>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  <w:t>Ръководството на Организацията</w:t>
      </w:r>
      <w:r>
        <w:rPr>
          <w:b w:val="false"/>
          <w:u w:val="none"/>
          <w:lang w:eastAsia="en-US"/>
        </w:rPr>
        <w:t xml:space="preserve"> гарантира, че целите</w:t>
      </w:r>
      <w:r>
        <w:rPr>
          <w:b w:val="false"/>
          <w:u w:val="none"/>
          <w:lang w:val="bg-BG" w:eastAsia="en-US"/>
        </w:rPr>
        <w:t>: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в съответствие с политиката за качество</w:t>
      </w:r>
      <w:r>
        <w:rPr>
          <w:b w:val="false"/>
          <w:u w:val="none"/>
          <w:lang w:val="bg-BG" w:eastAsia="en-US"/>
        </w:rPr>
        <w:t>, опазването на околната среда и безопасните условия на труд;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измерими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вземат предвид приложимите изисквания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от значение за съответствие на продукти</w:t>
      </w:r>
      <w:r>
        <w:rPr>
          <w:b w:val="false"/>
          <w:u w:val="none"/>
          <w:lang w:val="bg-BG" w:eastAsia="en-US"/>
        </w:rPr>
        <w:t>те</w:t>
      </w:r>
      <w:r>
        <w:rPr>
          <w:b w:val="false"/>
          <w:u w:val="none"/>
          <w:lang w:eastAsia="en-US"/>
        </w:rPr>
        <w:t xml:space="preserve"> и услуги</w:t>
      </w:r>
      <w:r>
        <w:rPr>
          <w:b w:val="false"/>
          <w:u w:val="none"/>
          <w:lang w:val="bg-BG" w:eastAsia="en-US"/>
        </w:rPr>
        <w:t>те</w:t>
      </w:r>
      <w:r>
        <w:rPr>
          <w:b w:val="false"/>
          <w:u w:val="none"/>
          <w:lang w:eastAsia="en-US"/>
        </w:rPr>
        <w:t xml:space="preserve"> и удовлетвореността на клиентите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наблюдават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съобщава</w:t>
      </w:r>
      <w:r>
        <w:rPr>
          <w:b w:val="false"/>
          <w:u w:val="none"/>
          <w:lang w:val="bg-BG" w:eastAsia="en-US"/>
        </w:rPr>
        <w:t>т;</w:t>
      </w:r>
    </w:p>
    <w:p>
      <w:pPr>
        <w:pStyle w:val="Heading2"/>
        <w:ind w:firstLine="720" w:start="0" w:end="0"/>
        <w:rPr/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актуализира</w:t>
      </w:r>
      <w:r>
        <w:rPr>
          <w:b w:val="false"/>
          <w:u w:val="none"/>
          <w:lang w:val="bg-BG" w:eastAsia="en-US"/>
        </w:rPr>
        <w:t>т</w:t>
      </w:r>
      <w:r>
        <w:rPr>
          <w:b w:val="false"/>
          <w:u w:val="none"/>
          <w:lang w:eastAsia="en-US"/>
        </w:rPr>
        <w:t>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/>
      </w:pPr>
      <w:r>
        <w:rPr>
          <w:b w:val="false"/>
          <w:u w:val="none"/>
          <w:lang w:eastAsia="en-US"/>
        </w:rPr>
        <w:t xml:space="preserve">Нашите цели </w:t>
      </w:r>
      <w:r>
        <w:rPr>
          <w:b w:val="false"/>
          <w:u w:val="none"/>
          <w:lang w:val="bg-BG" w:eastAsia="en-US"/>
        </w:rPr>
        <w:t>по ИСУ</w:t>
      </w:r>
      <w:r>
        <w:rPr>
          <w:b w:val="false"/>
          <w:u w:val="none"/>
          <w:lang w:eastAsia="en-US"/>
        </w:rPr>
        <w:t>, се запазват като документирана информация.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Когато планира как да постигне своите цели за качество,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 определя</w:t>
      </w:r>
      <w:r>
        <w:rPr>
          <w:b w:val="false"/>
          <w:u w:val="none"/>
          <w:lang w:val="bg-BG" w:eastAsia="en-US"/>
        </w:rPr>
        <w:t>: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Какво ще се прави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firstLine="720" w:start="0" w:end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Какви ресурси ще бъдат необходими?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Кой ще бъде отговорен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Кога ще бъде </w:t>
      </w:r>
      <w:r>
        <w:rPr>
          <w:b w:val="false"/>
          <w:u w:val="none"/>
          <w:lang w:val="bg-BG" w:eastAsia="en-US"/>
        </w:rPr>
        <w:t>изпълнена целта?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Как ще се оценяват резултатите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Организацията има непрекъснат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 xml:space="preserve"> система, която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a) да определи задълженията за спазване на изискванията, свързани с </w:t>
      </w:r>
      <w:r>
        <w:rPr>
          <w:color w:val="000000"/>
          <w:sz w:val="22"/>
          <w:lang w:val="bg-BG" w:eastAsia="en-US"/>
        </w:rPr>
        <w:t>целите</w:t>
      </w:r>
      <w:r>
        <w:rPr>
          <w:color w:val="000000"/>
          <w:sz w:val="22"/>
          <w:lang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b) определи как тези задълженията се прилагат </w:t>
      </w:r>
      <w:r>
        <w:rPr>
          <w:color w:val="000000"/>
          <w:sz w:val="22"/>
          <w:lang w:val="bg-BG" w:eastAsia="en-US"/>
        </w:rPr>
        <w:t>и спазват в</w:t>
      </w:r>
      <w:r>
        <w:rPr>
          <w:color w:val="000000"/>
          <w:sz w:val="22"/>
          <w:lang w:eastAsia="en-US"/>
        </w:rPr>
        <w:t xml:space="preserve"> организацията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c) взема </w:t>
      </w:r>
      <w:r>
        <w:rPr>
          <w:color w:val="000000"/>
          <w:sz w:val="22"/>
          <w:lang w:val="bg-BG" w:eastAsia="en-US"/>
        </w:rPr>
        <w:t xml:space="preserve">спазването на тези </w:t>
      </w:r>
      <w:r>
        <w:rPr>
          <w:color w:val="000000"/>
          <w:sz w:val="22"/>
          <w:lang w:eastAsia="en-US"/>
        </w:rPr>
        <w:t xml:space="preserve">задълженията под внимание при създаването, прилагането, поддържането и непрекъснато подобряване на </w:t>
      </w:r>
      <w:r>
        <w:rPr>
          <w:color w:val="000000"/>
          <w:sz w:val="22"/>
          <w:lang w:val="bg-BG" w:eastAsia="en-US"/>
        </w:rPr>
        <w:t xml:space="preserve">интегрираната </w:t>
      </w:r>
      <w:r>
        <w:rPr>
          <w:color w:val="000000"/>
          <w:sz w:val="22"/>
          <w:lang w:eastAsia="en-US"/>
        </w:rPr>
        <w:t>системата за управление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>Ръководители</w:t>
      </w:r>
      <w:r>
        <w:rPr>
          <w:szCs w:val="24"/>
          <w:lang w:val="bg-BG" w:eastAsia="en-US"/>
        </w:rPr>
        <w:t>те</w:t>
      </w:r>
      <w:r>
        <w:rPr>
          <w:szCs w:val="24"/>
          <w:lang w:eastAsia="en-US"/>
        </w:rPr>
        <w:t xml:space="preserve"> на всеки отдел подготвя </w:t>
      </w:r>
      <w:r>
        <w:rPr>
          <w:szCs w:val="24"/>
          <w:lang w:val="bg-BG" w:eastAsia="en-US"/>
        </w:rPr>
        <w:t>Формуляр План за целите по ИСУ</w:t>
      </w:r>
      <w:r>
        <w:rPr>
          <w:szCs w:val="24"/>
          <w:lang w:eastAsia="en-US"/>
        </w:rPr>
        <w:t xml:space="preserve"> (Q</w:t>
      </w:r>
      <w:r>
        <w:rPr>
          <w:szCs w:val="24"/>
          <w:lang w:val="bg-BG" w:eastAsia="en-US"/>
        </w:rPr>
        <w:t>Е</w:t>
      </w:r>
      <w:r>
        <w:rPr>
          <w:szCs w:val="24"/>
          <w:lang w:eastAsia="en-US"/>
        </w:rPr>
        <w:t xml:space="preserve">MS-QF-PR01-002) за </w:t>
      </w:r>
      <w:r>
        <w:rPr>
          <w:szCs w:val="24"/>
          <w:lang w:val="bg-BG" w:eastAsia="en-US"/>
        </w:rPr>
        <w:t>своята</w:t>
      </w:r>
      <w:r>
        <w:rPr>
          <w:szCs w:val="24"/>
          <w:lang w:eastAsia="en-US"/>
        </w:rPr>
        <w:t xml:space="preserve"> функционална област и представя копие на </w:t>
      </w:r>
      <w:r>
        <w:rPr>
          <w:szCs w:val="24"/>
          <w:lang w:val="bg-BG" w:eastAsia="en-US"/>
        </w:rPr>
        <w:t>Управителя</w:t>
      </w:r>
      <w:r>
        <w:rPr>
          <w:szCs w:val="24"/>
          <w:lang w:eastAsia="en-US"/>
        </w:rPr>
        <w:t xml:space="preserve"> за </w:t>
      </w:r>
      <w:r>
        <w:rPr>
          <w:szCs w:val="24"/>
          <w:lang w:val="bg-BG" w:eastAsia="en-US"/>
        </w:rPr>
        <w:t xml:space="preserve">преглед и </w:t>
      </w:r>
      <w:r>
        <w:rPr>
          <w:szCs w:val="24"/>
          <w:lang w:eastAsia="en-US"/>
        </w:rPr>
        <w:t>одобрение</w:t>
      </w:r>
      <w:r>
        <w:rPr>
          <w:szCs w:val="24"/>
          <w:lang w:val="bg-BG" w:eastAsia="en-US"/>
        </w:rPr>
        <w:t>.</w:t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jc w:val="both"/>
        <w:rPr>
          <w:b/>
          <w:u w:val="single"/>
          <w:lang w:val="bg-BG" w:eastAsia="en-US"/>
        </w:rPr>
      </w:pPr>
      <w:r>
        <w:rPr>
          <w:b/>
          <w:sz w:val="22"/>
          <w:szCs w:val="22"/>
          <w:u w:val="single"/>
          <w:lang w:eastAsia="en-US"/>
        </w:rPr>
        <w:t>A.3</w:t>
      </w:r>
      <w:r>
        <w:rPr>
          <w:b/>
          <w:u w:val="single"/>
          <w:lang w:eastAsia="en-US"/>
        </w:rPr>
        <w:t xml:space="preserve"> </w:t>
      </w:r>
      <w:r>
        <w:rPr>
          <w:b/>
          <w:sz w:val="22"/>
          <w:szCs w:val="22"/>
          <w:u w:val="single"/>
          <w:lang w:eastAsia="en-US"/>
        </w:rPr>
        <w:t>Планиране на промените</w:t>
      </w:r>
    </w:p>
    <w:p>
      <w:pPr>
        <w:pStyle w:val="Normal"/>
        <w:ind w:firstLine="720" w:end="0"/>
        <w:jc w:val="both"/>
        <w:rPr>
          <w:b/>
          <w:u w:val="single"/>
          <w:lang w:val="bg-BG" w:eastAsia="en-US"/>
        </w:rPr>
      </w:pPr>
      <w:r>
        <w:rPr>
          <w:b/>
          <w:u w:val="single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szCs w:val="22"/>
          <w:lang w:val="bg-BG" w:eastAsia="en-US"/>
        </w:rPr>
        <w:t>О</w:t>
      </w:r>
      <w:r>
        <w:rPr>
          <w:sz w:val="22"/>
          <w:szCs w:val="22"/>
          <w:lang w:eastAsia="en-US"/>
        </w:rPr>
        <w:t xml:space="preserve">рганизацията определя необходимостта от промени в </w:t>
      </w:r>
      <w:r>
        <w:rPr>
          <w:sz w:val="22"/>
          <w:szCs w:val="22"/>
          <w:lang w:val="bg-BG" w:eastAsia="en-US"/>
        </w:rPr>
        <w:t xml:space="preserve">интегрираната </w:t>
      </w:r>
      <w:r>
        <w:rPr>
          <w:sz w:val="22"/>
          <w:szCs w:val="22"/>
          <w:lang w:eastAsia="en-US"/>
        </w:rPr>
        <w:t xml:space="preserve">системата за управление, като промените се извършват </w:t>
      </w:r>
      <w:r>
        <w:rPr>
          <w:sz w:val="22"/>
          <w:szCs w:val="22"/>
          <w:lang w:val="bg-BG" w:eastAsia="en-US"/>
        </w:rPr>
        <w:t>по</w:t>
      </w:r>
      <w:r>
        <w:rPr>
          <w:sz w:val="22"/>
          <w:szCs w:val="22"/>
          <w:lang w:eastAsia="en-US"/>
        </w:rPr>
        <w:t xml:space="preserve"> планиран начин</w:t>
      </w:r>
      <w:r>
        <w:rPr>
          <w:sz w:val="22"/>
          <w:szCs w:val="22"/>
          <w:lang w:val="bg-BG" w:eastAsia="en-US"/>
        </w:rPr>
        <w:t>.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  <w:t>Промените се извършват, при съблюдаване на: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>- Целта на промените и техните потенциалните последствия</w:t>
      </w:r>
      <w:r>
        <w:rPr>
          <w:sz w:val="22"/>
          <w:szCs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Целостта на </w:t>
      </w:r>
      <w:r>
        <w:rPr>
          <w:sz w:val="22"/>
          <w:szCs w:val="22"/>
          <w:lang w:val="bg-BG" w:eastAsia="en-US"/>
        </w:rPr>
        <w:t xml:space="preserve">интегрираната </w:t>
      </w:r>
      <w:r>
        <w:rPr>
          <w:sz w:val="22"/>
          <w:szCs w:val="22"/>
          <w:lang w:eastAsia="en-US"/>
        </w:rPr>
        <w:t>система</w:t>
      </w:r>
      <w:r>
        <w:rPr>
          <w:sz w:val="22"/>
          <w:szCs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Наличието на </w:t>
      </w:r>
      <w:r>
        <w:rPr>
          <w:sz w:val="22"/>
          <w:szCs w:val="22"/>
          <w:lang w:val="bg-BG" w:eastAsia="en-US"/>
        </w:rPr>
        <w:t xml:space="preserve">необходимите </w:t>
      </w:r>
      <w:r>
        <w:rPr>
          <w:sz w:val="22"/>
          <w:szCs w:val="22"/>
          <w:lang w:eastAsia="en-US"/>
        </w:rPr>
        <w:t>ресурси</w:t>
      </w:r>
      <w:r>
        <w:rPr>
          <w:sz w:val="22"/>
          <w:szCs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</w:t>
      </w:r>
      <w:r>
        <w:rPr>
          <w:sz w:val="22"/>
          <w:szCs w:val="22"/>
          <w:lang w:val="bg-BG" w:eastAsia="en-US"/>
        </w:rPr>
        <w:t>Р</w:t>
      </w:r>
      <w:r>
        <w:rPr>
          <w:sz w:val="22"/>
          <w:szCs w:val="22"/>
          <w:lang w:eastAsia="en-US"/>
        </w:rPr>
        <w:t>азпределение или преразпределение на отговорностите и пълномощията.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A.</w:t>
      </w:r>
      <w:r>
        <w:rPr>
          <w:lang w:val="bg-BG" w:eastAsia="en-US"/>
        </w:rPr>
        <w:t>4</w:t>
      </w:r>
      <w:r>
        <w:rPr>
          <w:lang w:eastAsia="en-US"/>
        </w:rPr>
        <w:t xml:space="preserve"> </w:t>
      </w:r>
      <w:r>
        <w:rPr>
          <w:lang w:val="bg-BG" w:eastAsia="en-US"/>
        </w:rPr>
        <w:t>Ресурси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Висшето ръководство на организацията определя и </w:t>
      </w:r>
      <w:r>
        <w:rPr>
          <w:sz w:val="22"/>
          <w:lang w:val="bg-BG" w:eastAsia="en-US"/>
        </w:rPr>
        <w:t>осигурява</w:t>
      </w:r>
      <w:r>
        <w:rPr>
          <w:sz w:val="22"/>
          <w:lang w:eastAsia="en-US"/>
        </w:rPr>
        <w:t xml:space="preserve"> средствата, необходими за създаването, прилагането, поддържането и непрекъснатото подобряване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>система за управление</w:t>
      </w:r>
      <w:r>
        <w:rPr>
          <w:sz w:val="22"/>
          <w:lang w:val="bg-BG" w:eastAsia="en-US"/>
        </w:rPr>
        <w:t>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b/>
          <w:sz w:val="22"/>
          <w:lang w:eastAsia="en-US"/>
        </w:rPr>
      </w:pPr>
      <w:r>
        <w:rPr>
          <w:sz w:val="22"/>
          <w:lang w:eastAsia="en-US"/>
        </w:rPr>
        <w:t xml:space="preserve">Статутът и адекватността на ресурсно осигуряване се разглежда </w:t>
      </w:r>
      <w:r>
        <w:rPr>
          <w:sz w:val="22"/>
          <w:lang w:val="bg-BG" w:eastAsia="en-US"/>
        </w:rPr>
        <w:t>на З</w:t>
      </w:r>
      <w:r>
        <w:rPr>
          <w:sz w:val="22"/>
          <w:lang w:eastAsia="en-US"/>
        </w:rPr>
        <w:t>аседани</w:t>
      </w:r>
      <w:r>
        <w:rPr>
          <w:sz w:val="22"/>
          <w:lang w:val="bg-BG" w:eastAsia="en-US"/>
        </w:rPr>
        <w:t>ята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за ИСУ.</w:t>
      </w:r>
    </w:p>
    <w:p>
      <w:pPr>
        <w:pStyle w:val="Heading2"/>
        <w:ind w:hanging="0" w:start="0"/>
        <w:rPr>
          <w:b w:val="false"/>
          <w:sz w:val="22"/>
          <w:u w:val="none"/>
          <w:lang w:val="bg-BG" w:eastAsia="en-US"/>
        </w:rPr>
      </w:pPr>
      <w:r>
        <w:rPr>
          <w:b w:val="false"/>
          <w:sz w:val="22"/>
          <w:u w:val="none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B. Преглед на ръководството</w:t>
      </w:r>
      <w:r>
        <w:rPr>
          <w:lang w:val="bg-BG" w:eastAsia="en-US"/>
        </w:rPr>
        <w:t xml:space="preserve"> 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val="bg-BG" w:eastAsia="en-US"/>
        </w:rPr>
        <w:t>Прегледът на ръководството на интегрираната с</w:t>
      </w:r>
      <w:r>
        <w:rPr>
          <w:b w:val="false"/>
          <w:u w:val="none"/>
          <w:lang w:eastAsia="en-US"/>
        </w:rPr>
        <w:t xml:space="preserve">истемата за управление на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</w:t>
      </w:r>
      <w:r>
        <w:rPr>
          <w:b w:val="false"/>
          <w:u w:val="none"/>
          <w:lang w:val="bg-BG" w:eastAsia="en-US"/>
        </w:rPr>
        <w:t xml:space="preserve"> се извършва</w:t>
      </w:r>
      <w:r>
        <w:rPr>
          <w:b w:val="false"/>
          <w:u w:val="none"/>
          <w:lang w:eastAsia="en-US"/>
        </w:rPr>
        <w:t xml:space="preserve"> при максимален интервал от шест месеца</w:t>
      </w:r>
      <w:r>
        <w:rPr>
          <w:b w:val="false"/>
          <w:u w:val="none"/>
          <w:lang w:val="bg-BG" w:eastAsia="en-US"/>
        </w:rPr>
        <w:t xml:space="preserve">. Това се прави с цел </w:t>
      </w:r>
      <w:r>
        <w:rPr>
          <w:b w:val="false"/>
          <w:u w:val="none"/>
          <w:lang w:eastAsia="en-US"/>
        </w:rPr>
        <w:t>да се осигури нейната пригодност, адекватност, ефективност и привеждане</w:t>
      </w:r>
      <w:r>
        <w:rPr>
          <w:b w:val="false"/>
          <w:u w:val="none"/>
          <w:lang w:val="bg-BG" w:eastAsia="en-US"/>
        </w:rPr>
        <w:t xml:space="preserve"> </w:t>
      </w:r>
      <w:r>
        <w:rPr>
          <w:b w:val="false"/>
          <w:u w:val="none"/>
          <w:lang w:eastAsia="en-US"/>
        </w:rPr>
        <w:t xml:space="preserve">в съответствие със стратегическата насока на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рганизацията.</w:t>
      </w:r>
    </w:p>
    <w:p>
      <w:pPr>
        <w:pStyle w:val="Normal"/>
        <w:rPr>
          <w:b/>
          <w:u w:val="none"/>
          <w:lang w:val="bg-BG" w:eastAsia="en-US"/>
        </w:rPr>
      </w:pPr>
      <w:r>
        <w:rPr>
          <w:b/>
          <w:u w:val="none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 xml:space="preserve">B.1 </w:t>
      </w:r>
      <w:r>
        <w:rPr>
          <w:lang w:val="bg-BG" w:eastAsia="en-US"/>
        </w:rPr>
        <w:t>Входове на прегледа на ръководството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Прегледът на управлението се планира и провежда, като се </w:t>
      </w:r>
      <w:r>
        <w:rPr>
          <w:b w:val="false"/>
          <w:u w:val="none"/>
          <w:lang w:val="bg-BG" w:eastAsia="en-US"/>
        </w:rPr>
        <w:t xml:space="preserve">взима </w:t>
      </w:r>
      <w:r>
        <w:rPr>
          <w:b w:val="false"/>
          <w:u w:val="none"/>
          <w:lang w:eastAsia="en-US"/>
        </w:rPr>
        <w:t>следното под внимание:</w:t>
      </w:r>
    </w:p>
    <w:p>
      <w:pPr>
        <w:pStyle w:val="Heading2"/>
        <w:ind w:hanging="0" w:start="0"/>
        <w:jc w:val="both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a) състоянието на действия след предишните прегледи от ръководствот</w:t>
      </w:r>
      <w:r>
        <w:rPr>
          <w:b w:val="false"/>
          <w:u w:val="none"/>
          <w:lang w:val="bg-BG" w:eastAsia="en-US"/>
        </w:rPr>
        <w:t>о;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b) промени в</w:t>
      </w:r>
      <w:r>
        <w:rPr>
          <w:b w:val="false"/>
          <w:u w:val="none"/>
          <w:lang w:val="bg-BG" w:eastAsia="en-US"/>
        </w:rPr>
        <w:t>ъв</w:t>
      </w:r>
      <w:r>
        <w:rPr>
          <w:b w:val="false"/>
          <w:u w:val="none"/>
          <w:lang w:eastAsia="en-US"/>
        </w:rPr>
        <w:t xml:space="preserve"> външни и вътрешни въпроси, които са от значение за </w:t>
      </w:r>
      <w:r>
        <w:rPr>
          <w:b w:val="false"/>
          <w:u w:val="none"/>
          <w:lang w:val="bg-BG" w:eastAsia="en-US"/>
        </w:rPr>
        <w:t xml:space="preserve">интегрираната </w:t>
      </w:r>
      <w:r>
        <w:rPr>
          <w:b w:val="false"/>
          <w:u w:val="none"/>
          <w:lang w:eastAsia="en-US"/>
        </w:rPr>
        <w:t>система за управление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c) информация за изпълнението и ефективността на </w:t>
      </w:r>
      <w:r>
        <w:rPr>
          <w:b w:val="false"/>
          <w:u w:val="none"/>
          <w:lang w:val="bg-BG" w:eastAsia="en-US"/>
        </w:rPr>
        <w:t xml:space="preserve">интегрираната </w:t>
      </w:r>
      <w:r>
        <w:rPr>
          <w:b w:val="false"/>
          <w:u w:val="none"/>
          <w:lang w:eastAsia="en-US"/>
        </w:rPr>
        <w:t>система за управление, включително тенденциите в: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1) удовлетвореността на клиентите и обратна </w:t>
      </w:r>
      <w:r>
        <w:rPr>
          <w:b w:val="false"/>
          <w:u w:val="none"/>
          <w:lang w:val="bg-BG" w:eastAsia="en-US"/>
        </w:rPr>
        <w:t>връзка</w:t>
      </w:r>
      <w:r>
        <w:rPr>
          <w:b w:val="false"/>
          <w:u w:val="none"/>
          <w:lang w:eastAsia="en-US"/>
        </w:rPr>
        <w:t xml:space="preserve"> от съответните заинтересовани страни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2) степента, до която са постигнати целите </w:t>
      </w:r>
      <w:r>
        <w:rPr>
          <w:b w:val="false"/>
          <w:u w:val="none"/>
          <w:lang w:val="bg-BG" w:eastAsia="en-US"/>
        </w:rPr>
        <w:t>по ИСУ;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3) представяне на процесите и съответствието на продуктите и услугите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4) несъответствия и коригиращи действия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5) резултатите от мониторинга и измерването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6) резултатите от одита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7) </w:t>
      </w:r>
      <w:r>
        <w:rPr>
          <w:b w:val="false"/>
          <w:u w:val="none"/>
          <w:lang w:val="bg-BG" w:eastAsia="en-US"/>
        </w:rPr>
        <w:t xml:space="preserve">дейности с </w:t>
      </w:r>
      <w:r>
        <w:rPr>
          <w:b w:val="false"/>
          <w:u w:val="none"/>
          <w:lang w:eastAsia="en-US"/>
        </w:rPr>
        <w:t>външни доставчици</w:t>
      </w:r>
      <w:r>
        <w:rPr>
          <w:b w:val="false"/>
          <w:u w:val="none"/>
          <w:lang w:val="bg-BG" w:eastAsia="en-US"/>
        </w:rPr>
        <w:t>.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d) адекватността на ресурсите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e) ефективността на предприетите действия за справяне с рисковете и възможностите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  <w:t>f) възможности за подобрение.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 xml:space="preserve">B.2 </w:t>
      </w:r>
      <w:r>
        <w:rPr>
          <w:lang w:val="bg-BG" w:eastAsia="en-US"/>
        </w:rPr>
        <w:t>Изходи на прегледа на ръководството</w:t>
      </w:r>
    </w:p>
    <w:p>
      <w:pPr>
        <w:pStyle w:val="Normal"/>
        <w:rPr>
          <w:lang w:val="bg-BG" w:eastAsia="en-US"/>
        </w:rPr>
      </w:pPr>
      <w:r>
        <w:rPr>
          <w:lang w:val="bg-BG" w:eastAsia="en-US"/>
        </w:rPr>
      </w:r>
    </w:p>
    <w:p>
      <w:pPr>
        <w:pStyle w:val="Normal"/>
        <w:ind w:firstLine="720" w:end="0"/>
        <w:rPr/>
      </w:pPr>
      <w:r>
        <w:rPr>
          <w:sz w:val="22"/>
          <w:lang w:eastAsia="en-US"/>
        </w:rPr>
        <w:t>Изходите на прегледа на ръководството включват решения и действия, свързани с</w:t>
      </w:r>
      <w:r>
        <w:rPr>
          <w:sz w:val="22"/>
          <w:lang w:val="bg-BG"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Заключения за пригодност, адекватността и ефективността на </w:t>
      </w:r>
      <w:r>
        <w:rPr>
          <w:sz w:val="22"/>
          <w:lang w:val="bg-BG" w:eastAsia="en-US"/>
        </w:rPr>
        <w:t xml:space="preserve">интегрирана </w:t>
      </w:r>
      <w:r>
        <w:rPr>
          <w:sz w:val="22"/>
          <w:lang w:eastAsia="en-US"/>
        </w:rPr>
        <w:t>система за управление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-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Р</w:t>
      </w:r>
      <w:r>
        <w:rPr>
          <w:sz w:val="22"/>
          <w:lang w:eastAsia="en-US"/>
        </w:rPr>
        <w:t>ешения, свързани с възможностите за непрекъснато подобрение;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 xml:space="preserve"> Решения, свързани с необходимост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 xml:space="preserve"> от промени в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 за управление, включително </w:t>
      </w:r>
      <w:r>
        <w:rPr>
          <w:sz w:val="22"/>
          <w:lang w:val="bg-BG" w:eastAsia="en-US"/>
        </w:rPr>
        <w:t xml:space="preserve">необходимост от </w:t>
      </w:r>
      <w:r>
        <w:rPr>
          <w:sz w:val="22"/>
          <w:lang w:eastAsia="en-US"/>
        </w:rPr>
        <w:t>ресурси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Действия, когато не са били постигнати цели</w:t>
      </w:r>
      <w:r>
        <w:rPr>
          <w:sz w:val="22"/>
          <w:lang w:val="bg-BG" w:eastAsia="en-US"/>
        </w:rPr>
        <w:t>те по ИСУ (</w:t>
      </w:r>
      <w:r>
        <w:rPr>
          <w:sz w:val="22"/>
          <w:lang w:eastAsia="en-US"/>
        </w:rPr>
        <w:t>ако е необходимо</w:t>
      </w:r>
      <w:r>
        <w:rPr>
          <w:sz w:val="22"/>
          <w:lang w:val="bg-BG" w:eastAsia="en-US"/>
        </w:rPr>
        <w:t>);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Възможности за подобряване на интеграцията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 за управление с други бизнес процеси </w:t>
      </w:r>
      <w:r>
        <w:rPr>
          <w:sz w:val="22"/>
          <w:lang w:val="bg-BG" w:eastAsia="en-US"/>
        </w:rPr>
        <w:t>(</w:t>
      </w:r>
      <w:r>
        <w:rPr>
          <w:sz w:val="22"/>
          <w:lang w:eastAsia="en-US"/>
        </w:rPr>
        <w:t>ако е необходимо</w:t>
      </w:r>
      <w:r>
        <w:rPr>
          <w:sz w:val="22"/>
          <w:lang w:val="bg-BG" w:eastAsia="en-US"/>
        </w:rPr>
        <w:t>);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П</w:t>
      </w:r>
      <w:r>
        <w:rPr>
          <w:sz w:val="22"/>
          <w:lang w:eastAsia="en-US"/>
        </w:rPr>
        <w:t>оследствия за стратегическото ръководство на организацията.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Управителят</w:t>
      </w:r>
      <w:r>
        <w:rPr>
          <w:sz w:val="22"/>
          <w:lang w:eastAsia="en-US"/>
        </w:rPr>
        <w:t xml:space="preserve"> подготвя Формуляр Протоколи от заседанията по Планиране на 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>СУ и преглед на ръководството (Q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MR-QF-PR01-003) и запазва тази </w:t>
      </w:r>
      <w:r>
        <w:rPr>
          <w:sz w:val="22"/>
          <w:lang w:val="bg-BG" w:eastAsia="en-US"/>
        </w:rPr>
        <w:t xml:space="preserve">и </w:t>
      </w:r>
      <w:r>
        <w:rPr>
          <w:sz w:val="22"/>
          <w:lang w:eastAsia="en-US"/>
        </w:rPr>
        <w:t>друг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документиран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информация като доказателство за резултатите от </w:t>
      </w:r>
      <w:r>
        <w:rPr>
          <w:sz w:val="22"/>
          <w:lang w:val="bg-BG" w:eastAsia="en-US"/>
        </w:rPr>
        <w:t>Планирането по ИСУ и прегледът на ръководството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i/>
          <w:sz w:val="22"/>
          <w:lang w:val="bg-BG" w:eastAsia="en-US"/>
        </w:rPr>
      </w:pPr>
      <w:r>
        <w:rPr>
          <w:i/>
          <w:sz w:val="22"/>
          <w:lang w:eastAsia="en-US"/>
        </w:rPr>
        <w:t>Забележка: Въпреки, че преглед</w:t>
      </w:r>
      <w:r>
        <w:rPr>
          <w:i/>
          <w:sz w:val="22"/>
          <w:lang w:val="bg-BG" w:eastAsia="en-US"/>
        </w:rPr>
        <w:t>ът</w:t>
      </w:r>
      <w:r>
        <w:rPr>
          <w:i/>
          <w:sz w:val="22"/>
          <w:lang w:eastAsia="en-US"/>
        </w:rPr>
        <w:t xml:space="preserve"> на ръководството е описан тук, след планиране, </w:t>
      </w:r>
      <w:r>
        <w:rPr>
          <w:i/>
          <w:sz w:val="22"/>
          <w:lang w:val="bg-BG" w:eastAsia="en-US"/>
        </w:rPr>
        <w:t>Ръководството</w:t>
      </w:r>
      <w:r>
        <w:rPr>
          <w:i/>
          <w:sz w:val="22"/>
          <w:lang w:eastAsia="en-US"/>
        </w:rPr>
        <w:t xml:space="preserve"> </w:t>
      </w:r>
      <w:r>
        <w:rPr>
          <w:i/>
          <w:sz w:val="22"/>
          <w:lang w:val="bg-BG" w:eastAsia="en-US"/>
        </w:rPr>
        <w:t xml:space="preserve">на Организацията, </w:t>
      </w:r>
      <w:r>
        <w:rPr>
          <w:i/>
          <w:sz w:val="22"/>
          <w:lang w:eastAsia="en-US"/>
        </w:rPr>
        <w:t>може да извърши прегледа преди планиран</w:t>
      </w:r>
      <w:r>
        <w:rPr>
          <w:i/>
          <w:sz w:val="22"/>
          <w:lang w:val="bg-BG" w:eastAsia="en-US"/>
        </w:rPr>
        <w:t>ата дата, когато сметне, че е необходимо</w:t>
      </w:r>
      <w:r>
        <w:rPr>
          <w:i/>
          <w:sz w:val="22"/>
          <w:lang w:eastAsia="en-US"/>
        </w:rPr>
        <w:t>.</w:t>
      </w:r>
    </w:p>
    <w:p>
      <w:pPr>
        <w:pStyle w:val="Normal"/>
        <w:rPr>
          <w:i/>
          <w:sz w:val="22"/>
          <w:lang w:val="bg-BG" w:eastAsia="en-US"/>
        </w:rPr>
      </w:pPr>
      <w:r>
        <w:rPr>
          <w:i/>
          <w:sz w:val="22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843"/>
        <w:gridCol w:w="911"/>
        <w:gridCol w:w="126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MR-Q-F-PR01-001 </w:t>
            </w:r>
          </w:p>
          <w:p>
            <w:pPr>
              <w:pStyle w:val="BodyText"/>
              <w:rPr/>
            </w:pPr>
            <w:r>
              <w:rPr/>
              <w:t>Формуляр Контекст на Организацията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Управител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 w:eastAsia="en-US"/>
              </w:rPr>
            </w:pPr>
            <w:r>
              <w:rPr>
                <w:lang w:eastAsia="en-US"/>
              </w:rPr>
              <w:t>Q</w:t>
            </w:r>
            <w:r>
              <w:rPr>
                <w:lang w:val="bg-BG" w:eastAsia="en-US"/>
              </w:rPr>
              <w:t>Е</w:t>
            </w:r>
            <w:r>
              <w:rPr>
                <w:lang w:eastAsia="en-US"/>
              </w:rPr>
              <w:t xml:space="preserve">MR-Q-F-PR01-002 </w:t>
            </w:r>
          </w:p>
          <w:p>
            <w:pPr>
              <w:pStyle w:val="BodyText"/>
              <w:rPr>
                <w:lang w:val="bg-BG"/>
              </w:rPr>
            </w:pPr>
            <w:r>
              <w:rPr>
                <w:lang w:eastAsia="en-US"/>
              </w:rPr>
              <w:t xml:space="preserve">Формуляр План за целите по </w:t>
            </w:r>
            <w:r>
              <w:rPr>
                <w:lang w:val="bg-BG" w:eastAsia="en-US"/>
              </w:rPr>
              <w:t>ИСУ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УПР по ИСУ,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Ръководители на отдели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lang w:eastAsia="en-US"/>
              </w:rPr>
              <w:t xml:space="preserve">QMR-Q-F-PR01-003 Формуляр Протоколи от заседанията по Планиране на </w:t>
            </w:r>
            <w:r>
              <w:rPr>
                <w:lang w:val="bg-BG" w:eastAsia="en-US"/>
              </w:rPr>
              <w:t>И</w:t>
            </w:r>
            <w:r>
              <w:rPr>
                <w:lang w:eastAsia="en-US"/>
              </w:rPr>
              <w:t>СУ и преглед на ръководството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Управител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end"/>
        <w:rPr>
          <w:sz w:val="22"/>
          <w:lang w:val="bg-BG"/>
        </w:rPr>
      </w:pPr>
      <w:r>
        <w:rPr>
          <w:sz w:val="22"/>
          <w:lang w:val="bg-BG"/>
        </w:rPr>
        <w:t>QЕMR-Q-F-PR01-001</w:t>
      </w:r>
    </w:p>
    <w:p>
      <w:pPr>
        <w:pStyle w:val="Normal"/>
        <w:ind w:firstLine="720" w:end="0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lang w:val="bg-BG"/>
        </w:rPr>
        <w:t>Контекст на Организацията</w:t>
      </w:r>
    </w:p>
    <w:p>
      <w:pPr>
        <w:pStyle w:val="Normal"/>
        <w:ind w:firstLine="720" w:end="0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</w:r>
    </w:p>
    <w:p>
      <w:pPr>
        <w:pStyle w:val="Normal"/>
        <w:rPr/>
      </w:pPr>
      <w:r>
        <w:rPr>
          <w:b/>
          <w:sz w:val="22"/>
          <w:szCs w:val="22"/>
          <w:u w:val="single"/>
          <w:lang w:eastAsia="en-US"/>
        </w:rPr>
        <w:t xml:space="preserve">1. Външни и вътрешни </w:t>
      </w:r>
      <w:r>
        <w:rPr>
          <w:b/>
          <w:sz w:val="22"/>
          <w:szCs w:val="22"/>
          <w:u w:val="single"/>
          <w:lang w:val="bg-BG" w:eastAsia="en-US"/>
        </w:rPr>
        <w:t>процеси</w:t>
      </w:r>
      <w:r>
        <w:rPr>
          <w:b/>
          <w:sz w:val="22"/>
          <w:szCs w:val="22"/>
          <w:u w:val="single"/>
          <w:lang w:eastAsia="en-US"/>
        </w:rPr>
        <w:t>, които са от значение за целите на организацията</w:t>
      </w:r>
    </w:p>
    <w:p>
      <w:pPr>
        <w:pStyle w:val="Normal"/>
        <w:rPr>
          <w:b/>
          <w:sz w:val="22"/>
          <w:szCs w:val="22"/>
          <w:u w:val="single"/>
          <w:lang w:eastAsia="en-US"/>
        </w:rPr>
      </w:pPr>
      <w:r>
        <w:rPr>
          <w:b/>
          <w:sz w:val="22"/>
          <w:szCs w:val="22"/>
          <w:u w:val="single"/>
          <w:lang w:eastAsia="en-US"/>
        </w:rPr>
      </w:r>
    </w:p>
    <w:p>
      <w:pPr>
        <w:pStyle w:val="Heading3"/>
        <w:numPr>
          <w:ilvl w:val="0"/>
          <w:numId w:val="2"/>
        </w:numPr>
        <w:ind w:hanging="0" w:start="0"/>
        <w:rPr>
          <w:szCs w:val="22"/>
          <w:lang w:val="bg-BG"/>
        </w:rPr>
      </w:pPr>
      <w:r>
        <w:rPr/>
        <w:t>Външни процеси</w:t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0"/>
        <w:gridCol w:w="2283"/>
        <w:gridCol w:w="1873"/>
        <w:gridCol w:w="2078"/>
        <w:gridCol w:w="2078"/>
      </w:tblGrid>
      <w:tr>
        <w:trPr>
          <w:cantSplit/>
        </w:trPr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Тип процеси</w:t>
            </w:r>
          </w:p>
        </w:tc>
        <w:tc>
          <w:tcPr>
            <w:tcW w:w="83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240" w:after="60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Детайли</w:t>
            </w:r>
          </w:p>
        </w:tc>
      </w:tr>
      <w:tr>
        <w:trPr>
          <w:cantSplit/>
        </w:trPr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Интернационално ниво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Регионално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Местно ниво</w:t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Правни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Технологични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Конкурентни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Пазарни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Културни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Социални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  <w:t>Икономически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>Условия на околната среда, които могат да повлияят на целта на организацията, или да бъдат засегнати от нейните аспекти на околната среда</w:t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2880"/>
        <w:gridCol w:w="2340"/>
        <w:gridCol w:w="324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Състояние на околната среда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snapToGrid w:val="false"/>
              <w:spacing w:before="240" w:after="60"/>
              <w:ind w:hanging="0" w:start="0"/>
              <w:rPr>
                <w:rFonts w:ascii="Arial Narrow" w:hAnsi="Arial Narrow" w:cs="Arial Narrow"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sz w:val="22"/>
                <w:lang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Arial Narrow" w:hAnsi="Arial Narrow" w:cs="Arial Narrow"/>
                <w:lang w:eastAsia="en-US"/>
              </w:rPr>
            </w:pPr>
            <w:r>
              <w:rPr>
                <w:rFonts w:cs="Arial Narrow" w:ascii="Arial Narrow" w:hAnsi="Arial Narrow"/>
                <w:lang w:eastAsia="en-US"/>
              </w:rPr>
              <w:t>Настоящо положение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Как това се отразява</w:t>
            </w: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 xml:space="preserve"> на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 xml:space="preserve"> целта на организацията?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Как се влияе от екологичните аспекти организацията?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Климат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Въздух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Вода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Земя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Съществуващото замърсяване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eastAsia="en-US"/>
              </w:rPr>
            </w:pPr>
            <w:r>
              <w:rPr>
                <w:sz w:val="22"/>
              </w:rPr>
              <w:t>Наличие на природни ресурси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eastAsia="en-US"/>
              </w:rPr>
            </w:pPr>
            <w:r>
              <w:rPr>
                <w:sz w:val="22"/>
              </w:rPr>
              <w:t>Биоразнообразие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rFonts w:ascii="Cambria" w:hAnsi="Cambria" w:cs="Cambria"/>
          <w:sz w:val="22"/>
          <w:lang w:eastAsia="en-US"/>
        </w:rPr>
      </w:pPr>
      <w:r>
        <w:rPr>
          <w:rFonts w:cs="Cambria" w:ascii="Cambria" w:hAnsi="Cambria"/>
          <w:sz w:val="22"/>
          <w:lang w:eastAsia="en-US"/>
        </w:rPr>
      </w:r>
    </w:p>
    <w:p>
      <w:pPr>
        <w:pStyle w:val="Normal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Забележка: </w:t>
      </w:r>
      <w:r>
        <w:rPr>
          <w:sz w:val="22"/>
          <w:szCs w:val="22"/>
          <w:lang w:val="bg-BG" w:eastAsia="en-US"/>
        </w:rPr>
        <w:t>Процесите</w:t>
      </w:r>
      <w:r>
        <w:rPr>
          <w:sz w:val="22"/>
          <w:szCs w:val="22"/>
          <w:lang w:eastAsia="en-US"/>
        </w:rPr>
        <w:t xml:space="preserve"> могат да включват положителн</w:t>
      </w:r>
      <w:r>
        <w:rPr>
          <w:sz w:val="22"/>
          <w:szCs w:val="22"/>
          <w:lang w:val="bg-BG" w:eastAsia="en-US"/>
        </w:rPr>
        <w:t>и</w:t>
      </w:r>
      <w:r>
        <w:rPr>
          <w:sz w:val="22"/>
          <w:szCs w:val="22"/>
          <w:lang w:eastAsia="en-US"/>
        </w:rPr>
        <w:t xml:space="preserve"> (+) и отрицателен</w:t>
      </w:r>
      <w:r>
        <w:rPr>
          <w:sz w:val="22"/>
          <w:szCs w:val="22"/>
          <w:lang w:val="bg-BG" w:eastAsia="en-US"/>
        </w:rPr>
        <w:t>и</w:t>
      </w:r>
      <w:r>
        <w:rPr>
          <w:sz w:val="22"/>
          <w:szCs w:val="22"/>
          <w:lang w:eastAsia="en-US"/>
        </w:rPr>
        <w:t xml:space="preserve"> (-) фактори или условия.</w:t>
      </w:r>
    </w:p>
    <w:p>
      <w:pPr>
        <w:pStyle w:val="Normal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ind w:hanging="0" w:start="0"/>
        <w:rPr/>
      </w:pPr>
      <w:r>
        <w:rPr/>
        <w:t>Вътрешни процеси</w:t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0"/>
        <w:gridCol w:w="2078"/>
        <w:gridCol w:w="2078"/>
        <w:gridCol w:w="2078"/>
        <w:gridCol w:w="2078"/>
      </w:tblGrid>
      <w:tr>
        <w:trPr>
          <w:cantSplit/>
        </w:trPr>
        <w:tc>
          <w:tcPr>
            <w:tcW w:w="1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Тип процеси</w:t>
            </w:r>
          </w:p>
        </w:tc>
        <w:tc>
          <w:tcPr>
            <w:tcW w:w="83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240" w:after="60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Детайли</w:t>
            </w:r>
          </w:p>
        </w:tc>
      </w:tr>
      <w:tr>
        <w:trPr>
          <w:cantSplit/>
        </w:trPr>
        <w:tc>
          <w:tcPr>
            <w:tcW w:w="1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Интернационално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Регионално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Местно ниво</w:t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Културни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Социални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Политически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Правни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Регулаторни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Финансови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Технологични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Икономически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Природни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Конкурентни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  <w:t>Вътрешни характеристики или условия на организацията</w:t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7762"/>
      </w:tblGrid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Cs w:val="24"/>
              </w:rPr>
            </w:pPr>
            <w:r>
              <w:rPr>
                <w:szCs w:val="24"/>
                <w:lang w:val="bg-BG"/>
              </w:rPr>
              <w:t>Тип процеси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Cs w:val="24"/>
              </w:rPr>
            </w:pPr>
            <w:r>
              <w:rPr>
                <w:szCs w:val="24"/>
                <w:lang w:val="bg-BG"/>
              </w:rPr>
              <w:t>Детайли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 w:eastAsia="en-US"/>
              </w:rPr>
              <w:t>Д</w:t>
            </w:r>
            <w:r>
              <w:rPr>
                <w:sz w:val="22"/>
                <w:lang w:eastAsia="en-US"/>
              </w:rPr>
              <w:t>ейности на организацията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Продукти и услуги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Стратегия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Фирмена култура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eastAsia="en-US"/>
              </w:rPr>
            </w:pPr>
            <w:r>
              <w:rPr>
                <w:sz w:val="22"/>
                <w:lang w:eastAsia="en-US"/>
              </w:rPr>
              <w:t>Възможности (т.е. хора, знания, процеси, системи)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  <w:u w:val="single"/>
          <w:lang w:val="bg-BG"/>
        </w:rPr>
      </w:pPr>
      <w:r>
        <w:rPr>
          <w:b/>
          <w:sz w:val="22"/>
          <w:szCs w:val="22"/>
          <w:u w:val="single"/>
          <w:lang w:val="bg-BG"/>
        </w:rPr>
        <w:t>2. Нуждите и очакванията на заинтересованите страни, имащи отношение към ИСУ</w:t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90"/>
        <w:gridCol w:w="3285"/>
        <w:gridCol w:w="3285"/>
      </w:tblGrid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Заинтересовани страни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Нужди 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Очаквания</w:t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  <w:lang w:val="bg-BG"/>
              </w:rPr>
              <w:t>Клиенти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  <w:lang w:val="bg-BG"/>
              </w:rPr>
              <w:t>Собственици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  <w:lang w:val="bg-BG"/>
              </w:rPr>
              <w:t>Служители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  <w:lang w:val="bg-BG"/>
              </w:rPr>
              <w:t>Доставчици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  <w:lang w:val="bg-BG"/>
              </w:rPr>
              <w:t>Банки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  <w:lang w:val="bg-BG"/>
              </w:rPr>
              <w:t>Контролни органи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  <w:lang w:val="bg-BG"/>
              </w:rPr>
              <w:t>Профсъюзи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  <w:lang w:val="bg-BG"/>
              </w:rPr>
              <w:t>Общественост (Конкуренти)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  <w:lang w:val="bg-BG"/>
              </w:rPr>
              <w:t>Общественост (Рискови групи)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4050"/>
        <w:gridCol w:w="1530"/>
        <w:gridCol w:w="3150"/>
      </w:tblGrid>
      <w:tr>
        <w:trPr/>
        <w:tc>
          <w:tcPr>
            <w:tcW w:w="1350" w:type="dxa"/>
            <w:tcBorders/>
          </w:tcPr>
          <w:p>
            <w:pPr>
              <w:pStyle w:val="Normal"/>
              <w:ind w:end="-318"/>
              <w:rPr/>
            </w:pPr>
            <w:r>
              <w:rPr>
                <w:sz w:val="22"/>
                <w:szCs w:val="22"/>
                <w:lang w:val="bg-BG"/>
              </w:rPr>
              <w:t>Изготвил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5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………………………………</w:t>
            </w:r>
            <w:r>
              <w:rPr>
                <w:sz w:val="22"/>
                <w:szCs w:val="22"/>
                <w:lang w:val="bg-BG"/>
              </w:rPr>
              <w:t xml:space="preserve">  </w:t>
            </w:r>
          </w:p>
        </w:tc>
        <w:tc>
          <w:tcPr>
            <w:tcW w:w="153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Проверил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</w:t>
            </w:r>
            <w:r>
              <w:rPr>
                <w:sz w:val="22"/>
                <w:szCs w:val="22"/>
              </w:rPr>
              <w:t>..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050" w:type="dxa"/>
            <w:tcBorders/>
          </w:tcPr>
          <w:p>
            <w:pPr>
              <w:pStyle w:val="Heading5"/>
              <w:spacing w:before="240" w:after="60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Отговорник по ИСУ</w:t>
            </w:r>
          </w:p>
        </w:tc>
        <w:tc>
          <w:tcPr>
            <w:tcW w:w="153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</w:rPr>
              <w:t xml:space="preserve">       </w:t>
            </w:r>
            <w:r>
              <w:rPr>
                <w:b/>
                <w:sz w:val="22"/>
                <w:szCs w:val="22"/>
                <w:lang w:val="bg-BG"/>
              </w:rPr>
              <w:t>Управител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Дата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5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Дата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15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  <w:t xml:space="preserve">QЕMR-Q-F-PR01-002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План за целите по ИСУ</w:t>
      </w:r>
    </w:p>
    <w:p>
      <w:pPr>
        <w:pStyle w:val="Normal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</w:r>
    </w:p>
    <w:p>
      <w:pPr>
        <w:pStyle w:val="Normal"/>
        <w:rPr/>
      </w:pPr>
      <w:r>
        <w:rPr>
          <w:sz w:val="22"/>
          <w:lang w:val="bg-BG"/>
        </w:rPr>
        <w:t>Отдел/Длъжност</w:t>
      </w:r>
      <w:r>
        <w:rPr>
          <w:sz w:val="22"/>
        </w:rPr>
        <w:t>: ………………………………………………………………………………..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</w:r>
          </w:p>
          <w:p>
            <w:pPr>
              <w:pStyle w:val="Normal"/>
              <w:ind w:end="-108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outlineLvl w:val="5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outlineLvl w:val="5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 xml:space="preserve">Отдели 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Какво ще бъде направено?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Какви ресурси ще бъдат  вложени?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Кой ще е отговорник?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Кога задачата ще бъде изпълнена?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 w:eastAsia="en-US"/>
              </w:rPr>
            </w:pPr>
            <w:r>
              <w:rPr>
                <w:b/>
                <w:sz w:val="20"/>
                <w:lang w:val="bg-BG" w:eastAsia="en-US"/>
              </w:rPr>
              <w:t>Как ще бъдат оценени резултатите?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</w:r>
          </w:p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 w:eastAsia="en-US"/>
              </w:rPr>
              <w:t>Ц</w:t>
            </w:r>
            <w:r>
              <w:rPr>
                <w:b/>
                <w:sz w:val="22"/>
                <w:lang w:eastAsia="en-US"/>
              </w:rPr>
              <w:t>ел</w:t>
            </w:r>
            <w:r>
              <w:rPr>
                <w:b/>
                <w:sz w:val="22"/>
                <w:lang w:val="bg-BG" w:eastAsia="en-US"/>
              </w:rPr>
              <w:t xml:space="preserve"> по</w:t>
            </w:r>
            <w:r>
              <w:rPr>
                <w:b/>
                <w:sz w:val="22"/>
                <w:lang w:eastAsia="en-US"/>
              </w:rPr>
              <w:t xml:space="preserve"> опазване на околната среда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Какво ще се направи?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Какви ресурси ще бъдат използвани?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Кой ще е отговорен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Кога ще е приключено?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 ще бъде определен резултатът?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</w:tbl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</w:r>
          </w:p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val="bg-BG" w:eastAsia="en-US"/>
              </w:rPr>
              <w:t>Опазване здравето на работниците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Какво ще се направи?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Какви ресурси ще бъдат използвани?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Кой ще е отговорен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Кога ще е приключено?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 ще бъде определен резултатът?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4410"/>
        <w:gridCol w:w="1440"/>
        <w:gridCol w:w="2880"/>
      </w:tblGrid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Изготвил</w:t>
            </w:r>
            <w:r>
              <w:rPr>
                <w:sz w:val="22"/>
              </w:rPr>
              <w:t>:</w:t>
            </w:r>
          </w:p>
        </w:tc>
        <w:tc>
          <w:tcPr>
            <w:tcW w:w="4410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…………………………………………</w:t>
            </w:r>
          </w:p>
        </w:tc>
        <w:tc>
          <w:tcPr>
            <w:tcW w:w="144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Проверил</w:t>
            </w:r>
            <w:r>
              <w:rPr>
                <w:sz w:val="22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……………………………</w:t>
            </w:r>
            <w:r>
              <w:rPr>
                <w:sz w:val="22"/>
              </w:rPr>
              <w:t>..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4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outlineLvl w:val="4"/>
              <w:rPr/>
            </w:pPr>
            <w:r>
              <w:rPr>
                <w:b/>
                <w:color w:val="FF0000"/>
                <w:sz w:val="22"/>
              </w:rPr>
              <w:t xml:space="preserve">          </w:t>
            </w:r>
            <w:r>
              <w:rPr>
                <w:b/>
                <w:color w:val="FF0000"/>
                <w:sz w:val="22"/>
                <w:lang w:val="bg-BG"/>
              </w:rPr>
              <w:t>Ръководител отдел</w:t>
            </w:r>
          </w:p>
        </w:tc>
        <w:tc>
          <w:tcPr>
            <w:tcW w:w="1440" w:type="dxa"/>
            <w:tcBorders/>
          </w:tcPr>
          <w:p>
            <w:pPr>
              <w:pStyle w:val="Normal"/>
              <w:snapToGrid w:val="false"/>
              <w:ind w:end="-108"/>
              <w:rPr>
                <w:b/>
                <w:color w:val="FF0000"/>
                <w:sz w:val="22"/>
                <w:lang w:val="bg-BG"/>
              </w:rPr>
            </w:pPr>
            <w:r>
              <w:rPr>
                <w:b/>
                <w:color w:val="FF0000"/>
                <w:sz w:val="22"/>
                <w:lang w:val="bg-BG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color w:val="FF0000"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      </w:t>
            </w:r>
            <w:r>
              <w:rPr>
                <w:b/>
                <w:color w:val="FF0000"/>
                <w:sz w:val="22"/>
              </w:rPr>
              <w:t xml:space="preserve"> </w:t>
            </w:r>
            <w:r>
              <w:rPr>
                <w:b/>
                <w:color w:val="FF0000"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4410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623" w:footer="665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jc w:val="end"/>
        <w:rPr>
          <w:lang w:val="bg-BG" w:eastAsia="en-US"/>
        </w:rPr>
      </w:pPr>
      <w:r>
        <w:rPr>
          <w:lang w:eastAsia="en-US"/>
        </w:rPr>
        <w:t xml:space="preserve">QMR-Q-F-PR01-003 </w:t>
      </w:r>
    </w:p>
    <w:p>
      <w:pPr>
        <w:pStyle w:val="Normal"/>
        <w:jc w:val="center"/>
        <w:rPr>
          <w:b/>
          <w:i/>
          <w:sz w:val="28"/>
          <w:szCs w:val="28"/>
          <w:u w:val="single"/>
          <w:lang w:val="bg-BG" w:eastAsia="en-US"/>
        </w:rPr>
      </w:pPr>
      <w:r>
        <w:rPr>
          <w:b/>
          <w:i/>
          <w:sz w:val="28"/>
          <w:szCs w:val="28"/>
          <w:u w:val="single"/>
          <w:lang w:val="bg-BG" w:eastAsia="en-US"/>
        </w:rPr>
      </w:r>
    </w:p>
    <w:p>
      <w:pPr>
        <w:pStyle w:val="Normal"/>
        <w:jc w:val="center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eastAsia="en-US"/>
        </w:rPr>
        <w:t xml:space="preserve">Протоколи от заседанията по Планиране на </w:t>
      </w:r>
      <w:r>
        <w:rPr>
          <w:b/>
          <w:i/>
          <w:sz w:val="28"/>
          <w:szCs w:val="28"/>
          <w:u w:val="single"/>
          <w:lang w:val="bg-BG" w:eastAsia="en-US"/>
        </w:rPr>
        <w:t>И</w:t>
      </w:r>
      <w:r>
        <w:rPr>
          <w:b/>
          <w:i/>
          <w:sz w:val="28"/>
          <w:szCs w:val="28"/>
          <w:u w:val="single"/>
          <w:lang w:eastAsia="en-US"/>
        </w:rPr>
        <w:t>СУ и преглед на ръководството</w:t>
      </w:r>
    </w:p>
    <w:p>
      <w:pPr>
        <w:pStyle w:val="Normal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Събрание №</w:t>
      </w:r>
      <w:r>
        <w:rPr>
          <w:sz w:val="22"/>
        </w:rPr>
        <w:t xml:space="preserve">: …………                 </w:t>
      </w:r>
      <w:r>
        <w:rPr>
          <w:sz w:val="22"/>
          <w:lang w:val="bg-BG"/>
        </w:rPr>
        <w:t>Място на провеждане</w:t>
      </w:r>
      <w:r>
        <w:rPr>
          <w:sz w:val="22"/>
        </w:rPr>
        <w:t xml:space="preserve">: ……………………………………..       </w:t>
      </w:r>
      <w:r>
        <w:rPr>
          <w:sz w:val="22"/>
          <w:lang w:val="bg-BG"/>
        </w:rPr>
        <w:t>Дата</w:t>
      </w:r>
      <w:r>
        <w:rPr>
          <w:sz w:val="22"/>
        </w:rPr>
        <w:t xml:space="preserve">: ………….   </w:t>
      </w:r>
    </w:p>
    <w:p>
      <w:pPr>
        <w:pStyle w:val="Normal"/>
        <w:rPr/>
      </w:pPr>
      <w:r>
        <w:rPr>
          <w:sz w:val="22"/>
          <w:lang w:val="bg-BG"/>
        </w:rPr>
        <w:t>Планирано следващо събрание</w:t>
      </w:r>
      <w:r>
        <w:rPr>
          <w:sz w:val="22"/>
        </w:rPr>
        <w:t>: ……………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Присъстващи</w:t>
      </w:r>
      <w:r>
        <w:rPr/>
        <w:t>:</w:t>
      </w:r>
    </w:p>
    <w:tbl>
      <w:tblPr>
        <w:tblW w:w="1530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819"/>
        <w:gridCol w:w="4961"/>
      </w:tblGrid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Планиране по ИСУ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Определяне на </w:t>
      </w:r>
      <w:r>
        <w:rPr>
          <w:b/>
          <w:sz w:val="22"/>
          <w:u w:val="single"/>
          <w:lang w:val="bg-BG"/>
        </w:rPr>
        <w:t>р</w:t>
      </w:r>
      <w:r>
        <w:rPr>
          <w:b/>
          <w:sz w:val="22"/>
          <w:u w:val="single"/>
        </w:rPr>
        <w:t>искове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 и възможности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, които трябва да бъдат разгледани, за да: (а) да </w:t>
      </w:r>
      <w:r>
        <w:rPr>
          <w:b/>
          <w:sz w:val="22"/>
          <w:u w:val="single"/>
          <w:lang w:val="bg-BG"/>
        </w:rPr>
        <w:t xml:space="preserve">се </w:t>
      </w:r>
      <w:r>
        <w:rPr>
          <w:b/>
          <w:sz w:val="22"/>
          <w:u w:val="single"/>
        </w:rPr>
        <w:t>дад</w:t>
      </w:r>
      <w:r>
        <w:rPr>
          <w:b/>
          <w:sz w:val="22"/>
          <w:u w:val="single"/>
          <w:lang w:val="bg-BG"/>
        </w:rPr>
        <w:t>ат</w:t>
      </w:r>
      <w:r>
        <w:rPr>
          <w:b/>
          <w:sz w:val="22"/>
          <w:u w:val="single"/>
        </w:rPr>
        <w:t xml:space="preserve"> гаранции, че </w:t>
      </w:r>
      <w:r>
        <w:rPr>
          <w:b/>
          <w:sz w:val="22"/>
          <w:u w:val="single"/>
          <w:lang w:val="bg-BG"/>
        </w:rPr>
        <w:t>И</w:t>
      </w:r>
      <w:r>
        <w:rPr>
          <w:b/>
          <w:sz w:val="22"/>
          <w:u w:val="single"/>
        </w:rPr>
        <w:t>СУ</w:t>
      </w:r>
      <w:r>
        <w:rPr>
          <w:b/>
          <w:sz w:val="22"/>
          <w:u w:val="single"/>
          <w:lang w:val="bg-BG"/>
        </w:rPr>
        <w:t xml:space="preserve"> </w:t>
      </w:r>
      <w:r>
        <w:rPr>
          <w:b/>
          <w:sz w:val="22"/>
          <w:u w:val="single"/>
        </w:rPr>
        <w:t xml:space="preserve">може да постигне </w:t>
      </w:r>
      <w:r>
        <w:rPr>
          <w:b/>
          <w:sz w:val="22"/>
          <w:u w:val="single"/>
          <w:lang w:val="bg-BG"/>
        </w:rPr>
        <w:t>планираните</w:t>
      </w:r>
      <w:r>
        <w:rPr>
          <w:b/>
          <w:sz w:val="22"/>
          <w:u w:val="single"/>
        </w:rPr>
        <w:t xml:space="preserve"> резултат</w:t>
      </w:r>
      <w:r>
        <w:rPr>
          <w:b/>
          <w:sz w:val="22"/>
          <w:u w:val="single"/>
          <w:lang w:val="bg-BG"/>
        </w:rPr>
        <w:t>и</w:t>
      </w:r>
      <w:r>
        <w:rPr>
          <w:b/>
          <w:sz w:val="22"/>
          <w:u w:val="single"/>
        </w:rPr>
        <w:t xml:space="preserve">, (б) повишаване на желаните ефекти, (в) предотвратяване или намаляване на нежеланите ефекти, (г) постигане на подобрение </w:t>
      </w:r>
      <w:r>
        <w:rPr>
          <w:b/>
          <w:sz w:val="22"/>
          <w:u w:val="single"/>
          <w:lang w:val="bg-BG"/>
        </w:rPr>
        <w:t>на</w:t>
      </w:r>
      <w:r>
        <w:rPr>
          <w:b/>
          <w:sz w:val="22"/>
          <w:u w:val="single"/>
        </w:rPr>
        <w:t xml:space="preserve"> планиране</w:t>
      </w:r>
      <w:r>
        <w:rPr>
          <w:b/>
          <w:sz w:val="22"/>
          <w:u w:val="single"/>
          <w:lang w:val="bg-BG"/>
        </w:rPr>
        <w:t>то</w:t>
      </w:r>
      <w:r>
        <w:rPr>
          <w:b/>
          <w:sz w:val="22"/>
          <w:u w:val="single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tabs>
          <w:tab w:val="clear" w:pos="720"/>
          <w:tab w:val="left" w:pos="8442" w:leader="none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Анализ на риска и планиране</w:t>
      </w:r>
    </w:p>
    <w:tbl>
      <w:tblPr>
        <w:tblpPr w:vertAnchor="text" w:horzAnchor="page" w:leftFromText="141" w:rightFromText="141" w:tblpX="1451" w:tblpY="160"/>
        <w:tblW w:w="153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700"/>
        <w:gridCol w:w="810"/>
        <w:gridCol w:w="900"/>
        <w:gridCol w:w="900"/>
        <w:gridCol w:w="1080"/>
        <w:gridCol w:w="990"/>
        <w:gridCol w:w="1170"/>
        <w:gridCol w:w="1967"/>
        <w:gridCol w:w="567"/>
        <w:gridCol w:w="1134"/>
        <w:gridCol w:w="1372"/>
        <w:gridCol w:w="117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napToGrid w:val="false"/>
              <w:spacing w:before="240" w:after="60"/>
              <w:ind w:hanging="0" w:start="0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cs="Times New Roman" w:ascii="Times New Roman" w:hAnsi="Times New Roman"/>
                <w:b/>
                <w:sz w:val="18"/>
              </w:rPr>
            </w:r>
          </w:p>
          <w:p>
            <w:pPr>
              <w:pStyle w:val="Heading4"/>
              <w:spacing w:before="240" w:after="60"/>
              <w:ind w:hanging="0" w:start="0"/>
              <w:rPr/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Описание на идентифицирания риск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Вероятност, В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(1-5)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Тежест</w:t>
            </w:r>
            <w:r>
              <w:rPr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Ниво на контрол</w:t>
            </w:r>
            <w:r>
              <w:rPr>
                <w:b/>
                <w:color w:val="000000"/>
                <w:sz w:val="18"/>
                <w:lang w:eastAsia="en-US"/>
              </w:rPr>
              <w:t>,</w:t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К</w:t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Стойност на риска</w:t>
            </w:r>
            <w:r>
              <w:rPr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b/>
                <w:color w:val="000000"/>
                <w:sz w:val="18"/>
                <w:lang w:val="bg-BG" w:eastAsia="en-US"/>
              </w:rPr>
              <w:t>СР</w:t>
            </w:r>
            <w:r>
              <w:rPr>
                <w:b/>
                <w:color w:val="000000"/>
                <w:sz w:val="18"/>
                <w:lang w:eastAsia="en-US"/>
              </w:rPr>
              <w:t xml:space="preserve">  = 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В</w:t>
            </w:r>
            <w:r>
              <w:rPr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b/>
                <w:color w:val="000000"/>
                <w:sz w:val="18"/>
                <w:lang w:val="bg-BG" w:eastAsia="en-US"/>
              </w:rPr>
              <w:t>К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Приоритет на риска</w:t>
            </w:r>
            <w:r>
              <w:rPr>
                <w:b/>
                <w:color w:val="000000"/>
                <w:sz w:val="18"/>
                <w:lang w:eastAsia="en-US"/>
              </w:rPr>
              <w:t xml:space="preserve"> (Въз основа на </w:t>
            </w:r>
            <w:r>
              <w:rPr>
                <w:b/>
                <w:color w:val="000000"/>
                <w:sz w:val="18"/>
                <w:lang w:val="bg-BG" w:eastAsia="en-US"/>
              </w:rPr>
              <w:t>СР</w:t>
            </w:r>
            <w:r>
              <w:rPr>
                <w:b/>
                <w:color w:val="000000"/>
                <w:sz w:val="18"/>
                <w:lang w:eastAsia="en-US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Начин за справяне с риска</w:t>
            </w:r>
            <w:r>
              <w:rPr>
                <w:b/>
                <w:color w:val="FF0000"/>
                <w:sz w:val="18"/>
                <w:lang w:eastAsia="en-US"/>
              </w:rPr>
              <w:t>*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Heading6"/>
              <w:spacing w:before="240" w:after="60"/>
              <w:ind w:hanging="0" w:start="0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cs="Times New Roman" w:ascii="Times New Roman" w:hAnsi="Times New Roman"/>
                <w:lang w:val="bg-BG"/>
              </w:rPr>
              <w:t>План за действие за смекчаване на риска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Планирана дата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Times New Roman" w:hAnsi="Times New Roman" w:cs="Times New Roman"/>
                <w:sz w:val="18"/>
                <w:lang w:val="bg-BG"/>
              </w:rPr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Лична отговорност</w:t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 xml:space="preserve">Как </w:t>
            </w:r>
            <w:r>
              <w:rPr>
                <w:b/>
                <w:color w:val="000000"/>
                <w:sz w:val="18"/>
                <w:lang w:val="bg-BG" w:eastAsia="en-US"/>
              </w:rPr>
              <w:t>ще</w:t>
            </w:r>
            <w:r>
              <w:rPr>
                <w:b/>
                <w:color w:val="000000"/>
                <w:sz w:val="18"/>
                <w:lang w:eastAsia="en-US"/>
              </w:rPr>
              <w:t xml:space="preserve"> се интегрират и осъществява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b/>
                <w:color w:val="000000"/>
                <w:sz w:val="18"/>
                <w:lang w:eastAsia="en-US"/>
              </w:rPr>
              <w:t xml:space="preserve"> действията, в процесите на </w:t>
            </w:r>
            <w:r>
              <w:rPr>
                <w:b/>
                <w:color w:val="000000"/>
                <w:sz w:val="18"/>
                <w:lang w:val="bg-BG" w:eastAsia="en-US"/>
              </w:rPr>
              <w:t>ИСУ</w:t>
            </w:r>
            <w:r>
              <w:rPr>
                <w:b/>
                <w:color w:val="000000"/>
                <w:sz w:val="18"/>
                <w:lang w:eastAsia="en-US"/>
              </w:rPr>
              <w:t>?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Как ще се оценява ефективността на тези действия?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8442" w:leader="none"/>
        </w:tabs>
        <w:rPr>
          <w:b/>
          <w:sz w:val="22"/>
        </w:rPr>
      </w:pPr>
      <w:r/>
      <w:r>
        <w:rPr>
          <w:b/>
          <w:sz w:val="22"/>
          <w:u w:val="single"/>
          <w:lang w:val="bg-BG"/>
        </w:rPr>
        <w:tab/>
      </w:r>
    </w:p>
    <w:p>
      <w:pPr>
        <w:pStyle w:val="Normal"/>
        <w:rPr>
          <w:b/>
          <w:sz w:val="8"/>
        </w:rPr>
      </w:pPr>
      <w:r>
        <w:rPr>
          <w:b/>
          <w:sz w:val="8"/>
        </w:rPr>
      </w:r>
    </w:p>
    <w:p>
      <w:pPr>
        <w:pStyle w:val="Normal"/>
        <w:rPr/>
      </w:pPr>
      <w:r>
        <w:rPr>
          <w:b/>
          <w:sz w:val="18"/>
          <w:u w:val="single"/>
          <w:lang w:val="bg-BG"/>
        </w:rPr>
        <w:t>Начин на изчисление</w:t>
      </w:r>
      <w:r>
        <w:rPr>
          <w:b/>
          <w:sz w:val="18"/>
          <w:u w:val="single"/>
        </w:rPr>
        <w:t>:</w:t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</w:r>
    </w:p>
    <w:tbl>
      <w:tblPr>
        <w:tblW w:w="15309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2126"/>
        <w:gridCol w:w="6095"/>
        <w:gridCol w:w="6095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8"/>
              <w:spacing w:before="240" w:after="60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Стойност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18"/>
                <w:lang w:val="bg-BG"/>
              </w:rPr>
              <w:t>Вероятност</w:t>
            </w:r>
            <w:r>
              <w:rPr>
                <w:b/>
                <w:sz w:val="18"/>
              </w:rPr>
              <w:t xml:space="preserve">, </w:t>
            </w:r>
            <w:r>
              <w:rPr>
                <w:b/>
                <w:sz w:val="18"/>
                <w:lang w:val="bg-BG"/>
              </w:rPr>
              <w:t>В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Тежест, Т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Ниво на контрол, К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Много малко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 xml:space="preserve">Минимални </w:t>
            </w:r>
            <w:r>
              <w:rPr>
                <w:color w:val="000000"/>
                <w:sz w:val="18"/>
                <w:lang w:eastAsia="en-US"/>
              </w:rPr>
              <w:t>въздействи</w:t>
            </w:r>
            <w:r>
              <w:rPr>
                <w:color w:val="000000"/>
                <w:sz w:val="18"/>
                <w:lang w:val="bg-BG" w:eastAsia="en-US"/>
              </w:rPr>
              <w:t>я</w:t>
            </w:r>
            <w:r>
              <w:rPr>
                <w:color w:val="000000"/>
                <w:sz w:val="18"/>
                <w:lang w:eastAsia="en-US"/>
              </w:rPr>
              <w:t xml:space="preserve"> върху разходите, графика, производителност и т.н.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>И</w:t>
            </w:r>
            <w:r>
              <w:rPr>
                <w:color w:val="000000"/>
                <w:sz w:val="18"/>
                <w:lang w:eastAsia="en-US"/>
              </w:rPr>
              <w:t>збегнат</w:t>
            </w:r>
            <w:r>
              <w:rPr>
                <w:color w:val="000000"/>
                <w:sz w:val="18"/>
                <w:lang w:val="bg-BG" w:eastAsia="en-US"/>
              </w:rPr>
              <w:t xml:space="preserve"> риск,</w:t>
            </w:r>
            <w:r>
              <w:rPr>
                <w:color w:val="000000"/>
                <w:sz w:val="18"/>
                <w:lang w:eastAsia="en-US"/>
              </w:rPr>
              <w:t xml:space="preserve"> чрез избраните действия за намаляване </w:t>
            </w:r>
            <w:r>
              <w:rPr>
                <w:color w:val="000000"/>
                <w:sz w:val="18"/>
                <w:lang w:val="bg-BG" w:eastAsia="en-US"/>
              </w:rPr>
              <w:t>на 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Малко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eastAsia="en-US"/>
              </w:rPr>
              <w:t>Умерен</w:t>
            </w:r>
            <w:r>
              <w:rPr>
                <w:color w:val="000000"/>
                <w:sz w:val="18"/>
                <w:lang w:val="bg-BG" w:eastAsia="en-US"/>
              </w:rPr>
              <w:t>и</w:t>
            </w:r>
            <w:r>
              <w:rPr>
                <w:color w:val="000000"/>
                <w:sz w:val="18"/>
                <w:lang w:eastAsia="en-US"/>
              </w:rPr>
              <w:t xml:space="preserve"> въздействи</w:t>
            </w:r>
            <w:r>
              <w:rPr>
                <w:color w:val="000000"/>
                <w:sz w:val="18"/>
                <w:lang w:val="bg-BG" w:eastAsia="en-US"/>
              </w:rPr>
              <w:t>я</w:t>
            </w:r>
            <w:r>
              <w:rPr>
                <w:color w:val="000000"/>
                <w:sz w:val="18"/>
                <w:lang w:eastAsia="en-US"/>
              </w:rPr>
              <w:t xml:space="preserve"> върху разходите, графика, производителност и т.н.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eastAsia="en-US"/>
              </w:rPr>
              <w:t>Силно управляем</w:t>
            </w:r>
            <w:r>
              <w:rPr>
                <w:color w:val="000000"/>
                <w:sz w:val="18"/>
                <w:lang w:val="bg-BG" w:eastAsia="en-US"/>
              </w:rPr>
              <w:t>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50/50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>Значително влияние</w:t>
            </w:r>
            <w:r>
              <w:rPr>
                <w:color w:val="000000"/>
                <w:sz w:val="18"/>
                <w:lang w:eastAsia="en-US"/>
              </w:rPr>
              <w:t xml:space="preserve"> 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Умерено</w:t>
            </w:r>
            <w:r>
              <w:rPr>
                <w:color w:val="000000"/>
                <w:sz w:val="18"/>
                <w:lang w:eastAsia="en-US"/>
              </w:rPr>
              <w:t xml:space="preserve"> управляем</w:t>
            </w:r>
            <w:r>
              <w:rPr>
                <w:color w:val="000000"/>
                <w:sz w:val="18"/>
                <w:lang w:val="bg-BG" w:eastAsia="en-US"/>
              </w:rPr>
              <w:t>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Силно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Много съществено влияние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До голяма степен неконтролируем,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Почти сигурно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Разрушително въздействие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Неконтролируем,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</w:tbl>
    <w:p>
      <w:pPr>
        <w:pStyle w:val="Normal"/>
        <w:rPr>
          <w:b/>
          <w:sz w:val="18"/>
        </w:rPr>
      </w:pPr>
      <w:r>
        <w:rPr>
          <w:b/>
          <w:sz w:val="18"/>
        </w:rPr>
      </w:r>
    </w:p>
    <w:p>
      <w:pPr>
        <w:pStyle w:val="BodyText"/>
        <w:rPr>
          <w:lang w:val="bg-BG"/>
        </w:rPr>
      </w:pPr>
      <w:r>
        <w:rPr>
          <w:b/>
          <w:u w:val="single"/>
          <w:lang w:val="bg-BG"/>
        </w:rPr>
        <w:t>Действия за справяне с риска</w:t>
      </w:r>
      <w:r>
        <w:rPr>
          <w:b/>
          <w:color w:val="FF0000"/>
          <w:u w:val="single"/>
        </w:rPr>
        <w:t>*</w:t>
      </w:r>
      <w:r>
        <w:rPr>
          <w:b/>
          <w:u w:val="single"/>
        </w:rPr>
        <w:t>:</w:t>
      </w:r>
      <w:r>
        <w:rPr/>
        <w:t xml:space="preserve">  (a) </w:t>
      </w:r>
      <w:r>
        <w:rPr>
          <w:lang w:val="bg-BG"/>
        </w:rPr>
        <w:t>Избягване на риска</w:t>
      </w:r>
      <w:r>
        <w:rPr/>
        <w:t xml:space="preserve">      (b) </w:t>
      </w:r>
      <w:r>
        <w:rPr>
          <w:lang w:val="bg-BG"/>
        </w:rPr>
        <w:t>Ограничаване на риска</w:t>
      </w:r>
      <w:r>
        <w:rPr/>
        <w:t xml:space="preserve">      (c) </w:t>
      </w:r>
      <w:r>
        <w:rPr>
          <w:lang w:val="bg-BG"/>
        </w:rPr>
        <w:t>Премахване на източника на риска</w:t>
      </w:r>
      <w:r>
        <w:rPr/>
        <w:t xml:space="preserve">       </w:t>
      </w:r>
    </w:p>
    <w:p>
      <w:pPr>
        <w:pStyle w:val="BodyText"/>
        <w:rPr>
          <w:lang w:val="bg-BG"/>
        </w:rPr>
      </w:pPr>
      <w:r>
        <w:rPr/>
        <w:t xml:space="preserve"> </w:t>
      </w:r>
      <w:r>
        <w:rPr/>
        <w:t xml:space="preserve">(d) </w:t>
      </w:r>
      <w:r>
        <w:rPr>
          <w:lang w:val="bg-BG"/>
        </w:rPr>
        <w:t>Премахване на риска</w:t>
      </w:r>
      <w:r>
        <w:rPr/>
        <w:t xml:space="preserve"> (e) Промяна на вероятността от последствия </w:t>
      </w:r>
      <w:r>
        <w:rPr>
          <w:lang w:val="bg-BG"/>
        </w:rPr>
        <w:t xml:space="preserve"> </w:t>
      </w:r>
      <w:r>
        <w:rPr/>
        <w:t xml:space="preserve">(f) </w:t>
      </w:r>
      <w:r>
        <w:rPr>
          <w:lang w:val="bg-BG"/>
        </w:rPr>
        <w:t>Споделяне на риска</w:t>
      </w:r>
      <w:r>
        <w:rPr/>
        <w:t xml:space="preserve">     (g) </w:t>
      </w:r>
      <w:r>
        <w:rPr>
          <w:lang w:val="bg-BG"/>
        </w:rPr>
        <w:t>Запазване на риска</w:t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lang w:val="bg-BG"/>
        </w:rPr>
      </w:pPr>
      <w:r>
        <w:rPr>
          <w:lang w:val="bg-BG"/>
        </w:rPr>
      </w:r>
    </w:p>
    <w:p>
      <w:pPr>
        <w:pStyle w:val="BodyText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Анализ и планиране на възможностите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tbl>
      <w:tblPr>
        <w:tblW w:w="15309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692"/>
        <w:gridCol w:w="2008"/>
        <w:gridCol w:w="1277"/>
        <w:gridCol w:w="2118"/>
        <w:gridCol w:w="901"/>
        <w:gridCol w:w="1237"/>
        <w:gridCol w:w="1735"/>
        <w:gridCol w:w="1801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napToGrid w:val="false"/>
              <w:spacing w:before="240" w:after="60"/>
              <w:ind w:hanging="0" w:start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Heading4"/>
              <w:spacing w:before="240" w:after="60"/>
              <w:ind w:hanging="0" w:start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Описание на идентифицираните възможности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</w:rPr>
            </w:r>
          </w:p>
          <w:p>
            <w:pPr>
              <w:pStyle w:val="Normal"/>
              <w:ind w:end="-18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Очаквани резултати</w:t>
            </w:r>
            <w:r>
              <w:rPr>
                <w:b/>
              </w:rPr>
              <w:t xml:space="preserve"> </w:t>
            </w:r>
            <w:r>
              <w:rPr>
                <w:b/>
                <w:color w:val="008000"/>
              </w:rPr>
              <w:t>*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  <w:t>Ще се използва ли тази възможност? (ДА/НЕ)</w:t>
            </w:r>
          </w:p>
        </w:tc>
        <w:tc>
          <w:tcPr>
            <w:tcW w:w="2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lang w:val="bg-BG"/>
              </w:rPr>
              <w:t>План за действие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color w:val="000000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color w:val="000000"/>
                <w:lang w:val="bg-BG" w:eastAsia="en-US"/>
              </w:rPr>
              <w:t>Планирана дата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color w:val="000000"/>
                <w:lang w:val="bg-BG"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cs="Times New Roman" w:ascii="Times New Roman" w:hAnsi="Times New Roman"/>
                <w:lang w:val="bg-BG"/>
              </w:rPr>
              <w:t>Лична отговорност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color w:val="000000"/>
                <w:lang w:eastAsia="en-US"/>
              </w:rPr>
              <w:t>Как да се интегрират и осъществява</w:t>
            </w:r>
            <w:r>
              <w:rPr>
                <w:b/>
                <w:color w:val="000000"/>
                <w:lang w:val="bg-BG" w:eastAsia="en-US"/>
              </w:rPr>
              <w:t>т</w:t>
            </w:r>
            <w:r>
              <w:rPr>
                <w:b/>
                <w:color w:val="000000"/>
                <w:lang w:eastAsia="en-US"/>
              </w:rPr>
              <w:t xml:space="preserve"> действията, в процесите на </w:t>
            </w:r>
            <w:r>
              <w:rPr>
                <w:b/>
                <w:color w:val="000000"/>
                <w:lang w:val="bg-BG" w:eastAsia="en-US"/>
              </w:rPr>
              <w:t>ИСУ</w:t>
            </w:r>
            <w:r>
              <w:rPr>
                <w:b/>
                <w:color w:val="000000"/>
                <w:lang w:eastAsia="en-US"/>
              </w:rPr>
              <w:t>?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</w:p>
          <w:p>
            <w:pPr>
              <w:pStyle w:val="Normal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Как да се направи оценка на ефективността на тези действия?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tbl>
      <w:tblPr>
        <w:tblW w:w="15408" w:type="dxa"/>
        <w:jc w:val="start"/>
        <w:tblInd w:w="-117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11160"/>
      </w:tblGrid>
      <w:tr>
        <w:trPr/>
        <w:tc>
          <w:tcPr>
            <w:tcW w:w="4248" w:type="dxa"/>
            <w:tcBorders/>
          </w:tcPr>
          <w:p>
            <w:pPr>
              <w:pStyle w:val="Normal"/>
              <w:rPr>
                <w:b/>
                <w:sz w:val="22"/>
                <w:u w:val="single"/>
              </w:rPr>
            </w:pPr>
            <w:r>
              <w:rPr>
                <w:b/>
                <w:sz w:val="18"/>
                <w:u w:val="single"/>
                <w:lang w:eastAsia="en-US"/>
              </w:rPr>
              <w:t>Очакван</w:t>
            </w:r>
            <w:r>
              <w:rPr>
                <w:b/>
                <w:sz w:val="18"/>
                <w:u w:val="single"/>
                <w:lang w:val="bg-BG" w:eastAsia="en-US"/>
              </w:rPr>
              <w:t>ите</w:t>
            </w:r>
            <w:r>
              <w:rPr>
                <w:b/>
                <w:sz w:val="18"/>
                <w:u w:val="single"/>
                <w:lang w:eastAsia="en-US"/>
              </w:rPr>
              <w:t xml:space="preserve"> резултати </w:t>
            </w:r>
            <w:r>
              <w:rPr>
                <w:b/>
                <w:sz w:val="18"/>
                <w:u w:val="single"/>
                <w:lang w:val="bg-BG" w:eastAsia="en-US"/>
              </w:rPr>
              <w:t xml:space="preserve">от използването на </w:t>
            </w:r>
            <w:r>
              <w:rPr>
                <w:b/>
                <w:sz w:val="18"/>
                <w:u w:val="single"/>
                <w:lang w:eastAsia="en-US"/>
              </w:rPr>
              <w:t xml:space="preserve"> възможност</w:t>
            </w:r>
            <w:r>
              <w:rPr>
                <w:b/>
                <w:sz w:val="18"/>
                <w:u w:val="single"/>
                <w:lang w:val="bg-BG" w:eastAsia="en-US"/>
              </w:rPr>
              <w:t>ите</w:t>
            </w:r>
            <w:r>
              <w:rPr>
                <w:b/>
                <w:sz w:val="18"/>
                <w:u w:val="single"/>
                <w:lang w:eastAsia="en-US"/>
              </w:rPr>
              <w:t xml:space="preserve"> да отговорят на нуждите на организацията или на нейните клиенти *</w:t>
            </w:r>
          </w:p>
        </w:tc>
        <w:tc>
          <w:tcPr>
            <w:tcW w:w="11160" w:type="dxa"/>
            <w:tcBorders/>
          </w:tcPr>
          <w:p>
            <w:pPr>
              <w:pStyle w:val="Normal"/>
              <w:rPr>
                <w:sz w:val="18"/>
                <w:lang w:val="bg-BG" w:eastAsia="en-US"/>
              </w:rPr>
            </w:pPr>
            <w:r>
              <w:rPr>
                <w:b/>
                <w:sz w:val="22"/>
              </w:rPr>
              <w:t xml:space="preserve">: </w:t>
            </w:r>
            <w:r>
              <w:rPr>
                <w:sz w:val="18"/>
                <w:lang w:eastAsia="en-US"/>
              </w:rPr>
              <w:t xml:space="preserve">(a) </w:t>
            </w:r>
            <w:r>
              <w:rPr>
                <w:sz w:val="18"/>
                <w:lang w:val="bg-BG" w:eastAsia="en-US"/>
              </w:rPr>
              <w:t>Приемане на нови практики</w:t>
            </w:r>
            <w:r>
              <w:rPr>
                <w:sz w:val="18"/>
                <w:lang w:eastAsia="en-US"/>
              </w:rPr>
              <w:t xml:space="preserve">  (b) </w:t>
            </w:r>
            <w:r>
              <w:rPr>
                <w:sz w:val="18"/>
                <w:lang w:val="bg-BG" w:eastAsia="en-US"/>
              </w:rPr>
              <w:t>Предлагане на нови продукти</w:t>
            </w:r>
            <w:r>
              <w:rPr>
                <w:sz w:val="18"/>
                <w:lang w:eastAsia="en-US"/>
              </w:rPr>
              <w:t xml:space="preserve">    (c)  </w:t>
            </w:r>
            <w:r>
              <w:rPr>
                <w:sz w:val="18"/>
                <w:lang w:val="bg-BG" w:eastAsia="en-US"/>
              </w:rPr>
              <w:t>Откриване на нови пазари</w:t>
            </w:r>
            <w:r>
              <w:rPr>
                <w:sz w:val="18"/>
                <w:lang w:eastAsia="en-US"/>
              </w:rPr>
              <w:t xml:space="preserve">  (d)  </w:t>
            </w:r>
            <w:r>
              <w:rPr>
                <w:sz w:val="18"/>
                <w:lang w:val="bg-BG" w:eastAsia="en-US"/>
              </w:rPr>
              <w:t>Откриване на потенциални клиенти</w:t>
            </w:r>
            <w:r>
              <w:rPr>
                <w:sz w:val="18"/>
                <w:lang w:eastAsia="en-US"/>
              </w:rPr>
              <w:t xml:space="preserve">   </w:t>
            </w:r>
            <w:r>
              <w:rPr>
                <w:sz w:val="18"/>
                <w:lang w:val="bg-BG" w:eastAsia="en-US"/>
              </w:rPr>
              <w:t xml:space="preserve">         </w:t>
            </w:r>
            <w:r>
              <w:rPr>
                <w:sz w:val="18"/>
                <w:lang w:eastAsia="en-US"/>
              </w:rPr>
              <w:t xml:space="preserve">(e) </w:t>
            </w:r>
            <w:r>
              <w:rPr>
                <w:sz w:val="18"/>
                <w:lang w:val="bg-BG" w:eastAsia="en-US"/>
              </w:rPr>
              <w:t xml:space="preserve">Изграждане на партньорства </w:t>
            </w:r>
            <w:r>
              <w:rPr>
                <w:sz w:val="18"/>
                <w:lang w:eastAsia="en-US"/>
              </w:rPr>
              <w:t xml:space="preserve">(f) Използването на нови технологии и други желани и </w:t>
            </w:r>
            <w:r>
              <w:rPr>
                <w:sz w:val="18"/>
                <w:lang w:val="bg-BG" w:eastAsia="en-US"/>
              </w:rPr>
              <w:t xml:space="preserve">потенциални </w:t>
            </w:r>
            <w:r>
              <w:rPr>
                <w:sz w:val="18"/>
                <w:lang w:eastAsia="en-US"/>
              </w:rPr>
              <w:t>възможности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18"/>
                <w:lang w:eastAsia="en-US"/>
              </w:rPr>
              <w:t xml:space="preserve">   </w:t>
            </w:r>
          </w:p>
        </w:tc>
      </w:tr>
    </w:tbl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Преглед на ръководството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8"/>
          <w:u w:val="single"/>
          <w:lang w:val="bg-BG" w:eastAsia="en-US"/>
        </w:rPr>
      </w:pPr>
      <w:r>
        <w:rPr>
          <w:b/>
          <w:sz w:val="18"/>
          <w:u w:val="single"/>
          <w:lang w:val="bg-BG" w:eastAsia="en-US"/>
        </w:rPr>
      </w:r>
    </w:p>
    <w:p>
      <w:pPr>
        <w:pStyle w:val="Normal"/>
        <w:rPr>
          <w:sz w:val="18"/>
          <w:lang w:val="bg-BG"/>
        </w:rPr>
      </w:pPr>
      <w:r>
        <w:rPr>
          <w:sz w:val="22"/>
        </w:rPr>
        <w:t xml:space="preserve"> </w:t>
      </w:r>
      <w:r>
        <w:rPr>
          <w:sz w:val="18"/>
        </w:rPr>
        <w:t xml:space="preserve">Моля </w:t>
      </w:r>
      <w:r>
        <w:rPr>
          <w:sz w:val="18"/>
          <w:lang w:val="bg-BG"/>
        </w:rPr>
        <w:t>о</w:t>
      </w:r>
      <w:r>
        <w:rPr>
          <w:sz w:val="18"/>
        </w:rPr>
        <w:t xml:space="preserve">тбележете подходящия </w:t>
      </w:r>
      <w:r>
        <w:rPr>
          <w:sz w:val="18"/>
          <w:lang w:val="bg-BG"/>
        </w:rPr>
        <w:t>резултат от</w:t>
      </w:r>
      <w:r>
        <w:rPr>
          <w:sz w:val="18"/>
        </w:rPr>
        <w:t xml:space="preserve"> преглед</w:t>
      </w:r>
      <w:r>
        <w:rPr>
          <w:sz w:val="18"/>
          <w:lang w:val="bg-BG"/>
        </w:rPr>
        <w:t>а</w:t>
      </w:r>
      <w:r>
        <w:rPr>
          <w:sz w:val="18"/>
        </w:rPr>
        <w:t xml:space="preserve"> (решения и действия) тип: </w:t>
      </w:r>
      <w:r>
        <w:rPr>
          <w:sz w:val="18"/>
          <w:lang w:val="bg-BG"/>
        </w:rPr>
        <w:t>ВЗУ</w:t>
      </w:r>
      <w:r>
        <w:rPr>
          <w:sz w:val="18"/>
        </w:rPr>
        <w:t xml:space="preserve">  –&gt; Възможности за усъвършенстване.  </w:t>
      </w:r>
      <w:r>
        <w:rPr>
          <w:sz w:val="18"/>
          <w:lang w:val="bg-BG"/>
        </w:rPr>
        <w:t>НПИСУ</w:t>
      </w:r>
      <w:r>
        <w:rPr>
          <w:sz w:val="18"/>
        </w:rPr>
        <w:t xml:space="preserve"> –&gt; Необходимост от промени в </w:t>
      </w:r>
      <w:r>
        <w:rPr>
          <w:sz w:val="18"/>
          <w:lang w:val="bg-BG"/>
        </w:rPr>
        <w:t>интегрираната система за управление</w:t>
      </w:r>
      <w:r>
        <w:rPr>
          <w:sz w:val="18"/>
        </w:rPr>
        <w:t xml:space="preserve">.  </w:t>
      </w:r>
      <w:r>
        <w:rPr>
          <w:sz w:val="18"/>
          <w:lang w:val="bg-BG"/>
        </w:rPr>
        <w:t>НР</w:t>
      </w:r>
      <w:r>
        <w:rPr>
          <w:sz w:val="18"/>
        </w:rPr>
        <w:t xml:space="preserve"> –&gt; </w:t>
      </w:r>
      <w:r>
        <w:rPr>
          <w:sz w:val="18"/>
          <w:lang w:val="bg-BG"/>
        </w:rPr>
        <w:t>Необходимост от ресурси</w:t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tbl>
      <w:tblPr>
        <w:tblW w:w="15309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5141"/>
        <w:gridCol w:w="4356"/>
        <w:gridCol w:w="1404"/>
        <w:gridCol w:w="630"/>
        <w:gridCol w:w="630"/>
        <w:gridCol w:w="597"/>
        <w:gridCol w:w="1842"/>
      </w:tblGrid>
      <w:tr>
        <w:trPr>
          <w:cantSplit/>
        </w:trPr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Heading3"/>
              <w:numPr>
                <w:ilvl w:val="0"/>
                <w:numId w:val="2"/>
              </w:numPr>
              <w:ind w:hanging="0" w:start="0" w:end="0"/>
              <w:rPr/>
            </w:pPr>
            <w:r>
              <w:rPr/>
              <w:t>№</w:t>
            </w:r>
          </w:p>
        </w:tc>
        <w:tc>
          <w:tcPr>
            <w:tcW w:w="514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Heading2"/>
              <w:ind w:hanging="0" w:start="0"/>
              <w:rPr/>
            </w:pPr>
            <w:r>
              <w:rPr>
                <w:lang w:val="bg-BG"/>
              </w:rPr>
              <w:t>Преглед на входящите въпроси</w:t>
            </w:r>
            <w:r>
              <w:rPr/>
              <w:t xml:space="preserve"> </w:t>
            </w:r>
          </w:p>
        </w:tc>
        <w:tc>
          <w:tcPr>
            <w:tcW w:w="43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План за действие</w:t>
            </w:r>
          </w:p>
        </w:tc>
        <w:tc>
          <w:tcPr>
            <w:tcW w:w="140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Планирана дата</w:t>
            </w:r>
          </w:p>
        </w:tc>
        <w:tc>
          <w:tcPr>
            <w:tcW w:w="185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108" w:end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Тип на резултата от прегледа</w:t>
            </w:r>
          </w:p>
        </w:tc>
        <w:tc>
          <w:tcPr>
            <w:tcW w:w="184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Отговорност по изпълнението</w:t>
            </w:r>
          </w:p>
        </w:tc>
      </w:tr>
      <w:tr>
        <w:trPr>
          <w:cantSplit/>
        </w:trPr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514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  <w:t>ВЗУ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7"/>
              <w:spacing w:before="240" w:after="60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НП</w:t>
            </w:r>
          </w:p>
          <w:p>
            <w:pPr>
              <w:pStyle w:val="Heading7"/>
              <w:spacing w:before="240" w:after="60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ИСУ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  <w:t>НР</w:t>
            </w:r>
          </w:p>
        </w:tc>
        <w:tc>
          <w:tcPr>
            <w:tcW w:w="184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а) Стату</w:t>
            </w:r>
            <w:r>
              <w:rPr>
                <w:b/>
                <w:sz w:val="22"/>
                <w:lang w:val="bg-BG"/>
              </w:rPr>
              <w:t>с</w:t>
            </w:r>
            <w:r>
              <w:rPr>
                <w:b/>
                <w:sz w:val="22"/>
              </w:rPr>
              <w:t xml:space="preserve"> на действия</w:t>
            </w:r>
            <w:r>
              <w:rPr>
                <w:b/>
                <w:sz w:val="22"/>
                <w:lang w:val="bg-BG"/>
              </w:rPr>
              <w:t>та</w:t>
            </w:r>
            <w:r>
              <w:rPr>
                <w:b/>
                <w:sz w:val="22"/>
              </w:rPr>
              <w:t xml:space="preserve"> след п</w:t>
            </w:r>
            <w:r>
              <w:rPr>
                <w:b/>
                <w:sz w:val="22"/>
                <w:lang w:val="bg-BG"/>
              </w:rPr>
              <w:t>редходните</w:t>
            </w:r>
            <w:r>
              <w:rPr>
                <w:b/>
                <w:sz w:val="22"/>
              </w:rPr>
              <w:t> прегледи от ръководството: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b) </w:t>
            </w:r>
            <w:r>
              <w:rPr>
                <w:b/>
                <w:sz w:val="22"/>
                <w:lang w:eastAsia="en-US"/>
              </w:rPr>
              <w:t>Промени във външни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и вътрешни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въпроси, които са от значение за </w:t>
            </w:r>
            <w:r>
              <w:rPr>
                <w:b/>
                <w:sz w:val="22"/>
                <w:lang w:val="bg-BG" w:eastAsia="en-US"/>
              </w:rPr>
              <w:t>ИСУ</w:t>
            </w:r>
            <w:r>
              <w:rPr>
                <w:b/>
                <w:sz w:val="22"/>
                <w:lang w:eastAsia="en-US"/>
              </w:rPr>
              <w:t>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i/>
                <w:sz w:val="22"/>
              </w:rPr>
              <w:t xml:space="preserve">c) </w:t>
            </w:r>
            <w:r>
              <w:rPr>
                <w:b/>
                <w:i/>
                <w:sz w:val="22"/>
                <w:lang w:eastAsia="en-US"/>
              </w:rPr>
              <w:t xml:space="preserve">Информация относно резултатите от дейността и ефективността на </w:t>
            </w:r>
            <w:r>
              <w:rPr>
                <w:b/>
                <w:i/>
                <w:sz w:val="22"/>
                <w:lang w:val="bg-BG" w:eastAsia="en-US"/>
              </w:rPr>
              <w:t>интегрираната система за управление</w:t>
            </w:r>
            <w:r>
              <w:rPr>
                <w:b/>
                <w:i/>
                <w:sz w:val="22"/>
                <w:lang w:eastAsia="en-US"/>
              </w:rPr>
              <w:t>, включително тенденциите в: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c.1)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Удовлетворението на клиентите и обратна информация от съответните заинтересовани страни: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c.2)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Степен, до която са постигнати целите: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c.3)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Изпълнение на процесите и на съответствието на продукти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и услуги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>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c.4)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Несъответствия и коригиращи действия: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c.5)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eastAsia="en-US"/>
              </w:rPr>
              <w:t>Мониторинг и измерване на резултатите: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>c.6)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 w:eastAsia="en-US"/>
              </w:rPr>
              <w:t>Резултати от одита: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c.7)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 w:eastAsia="en-US"/>
              </w:rPr>
              <w:t>Управление на доставчиците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d) </w:t>
            </w:r>
            <w:r>
              <w:rPr>
                <w:b/>
                <w:sz w:val="22"/>
                <w:lang w:val="bg-BG" w:eastAsia="en-US"/>
              </w:rPr>
              <w:t>Съответствие</w:t>
            </w:r>
            <w:r>
              <w:rPr>
                <w:b/>
                <w:sz w:val="22"/>
                <w:lang w:eastAsia="en-US"/>
              </w:rPr>
              <w:t xml:space="preserve"> на ресурсите: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e) Ефективност на действията, предприети за справяне с рисковете и възможностите: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f) </w:t>
            </w:r>
            <w:r>
              <w:rPr>
                <w:b/>
                <w:sz w:val="22"/>
                <w:lang w:val="bg-BG" w:eastAsia="en-US"/>
              </w:rPr>
              <w:t>В</w:t>
            </w:r>
            <w:r>
              <w:rPr>
                <w:b/>
                <w:sz w:val="22"/>
                <w:lang w:eastAsia="en-US"/>
              </w:rPr>
              <w:t>ъзможности за подобрение:</w:t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pPr w:vertAnchor="text" w:horzAnchor="text" w:tblpXSpec="right" w:leftFromText="141" w:tblpY="1"/>
        <w:tblOverlap w:val="never"/>
        <w:tblW w:w="46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</w:tblGrid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Одобрено от</w:t>
            </w:r>
            <w:r>
              <w:rPr>
                <w:sz w:val="22"/>
              </w:rPr>
              <w:t>: ………………………………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                             </w:t>
            </w:r>
            <w:r>
              <w:rPr>
                <w:b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625" w:right="1134" w:gutter="0" w:header="709" w:top="765" w:footer="663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07.11.2019г.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10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07.11.2019г.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16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-415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16"/>
      <w:gridCol w:w="1569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„</w:t>
          </w:r>
          <w:r>
            <w:rPr>
              <w:b/>
              <w:szCs w:val="24"/>
            </w:rPr>
            <w:t>Витоша газ“  ЕООД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>IP 0</w:t>
          </w:r>
          <w:r>
            <w:rPr>
              <w:b/>
              <w:lang w:val="bg-BG"/>
            </w:rPr>
            <w:t>9</w:t>
          </w:r>
          <w:r>
            <w:rPr>
              <w:b/>
            </w:rPr>
            <w:t>.0</w:t>
          </w:r>
          <w:r>
            <w:rPr>
              <w:b/>
              <w:lang w:val="bg-BG"/>
            </w:rPr>
            <w:t>3</w:t>
          </w:r>
          <w:r>
            <w:rPr>
              <w:b/>
            </w:rPr>
            <w:t>.0</w:t>
          </w:r>
          <w:r>
            <w:rPr>
              <w:b/>
              <w:lang w:val="bg-BG"/>
            </w:rPr>
            <w:t>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1/7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  <w:lang w:val="bg-BG"/>
            </w:rPr>
            <w:t>Преглед от ръководството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51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000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sz w:val="22"/>
              <w:szCs w:val="22"/>
            </w:rPr>
          </w:pPr>
          <w:r>
            <w:rPr>
              <w:sz w:val="22"/>
              <w:szCs w:val="22"/>
            </w:rPr>
            <w:t>0</w:t>
          </w:r>
          <w:r>
            <w:rPr>
              <w:sz w:val="22"/>
              <w:szCs w:val="22"/>
              <w:lang w:val="bg-BG"/>
            </w:rPr>
            <w:t>7.</w:t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  <w:lang w:val="bg-BG"/>
            </w:rPr>
            <w:t>.201</w:t>
          </w:r>
          <w:r>
            <w:rPr>
              <w:sz w:val="22"/>
              <w:szCs w:val="22"/>
            </w:rPr>
            <w:t>9</w:t>
          </w:r>
        </w:p>
      </w:tc>
    </w:tr>
    <w:tr>
      <w:trPr>
        <w:cantSplit/>
      </w:trPr>
      <w:tc>
        <w:tcPr>
          <w:tcW w:w="151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/>
            <w:t>Утвърдил</w:t>
          </w:r>
          <w:r>
            <w:rPr>
              <w:lang w:val="bg-BG"/>
            </w:rPr>
            <w:t>:</w:t>
          </w:r>
        </w:p>
      </w:tc>
      <w:tc>
        <w:tcPr>
          <w:tcW w:w="6000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sz w:val="22"/>
              <w:szCs w:val="22"/>
              <w:lang w:val="bg-BG"/>
            </w:rPr>
          </w:pPr>
          <w:r>
            <w:rPr>
              <w:sz w:val="22"/>
              <w:szCs w:val="22"/>
            </w:rPr>
            <w:t>0</w:t>
          </w:r>
          <w:r>
            <w:rPr>
              <w:sz w:val="22"/>
              <w:szCs w:val="22"/>
              <w:lang w:val="bg-BG"/>
            </w:rPr>
            <w:t>7.</w:t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  <w:lang w:val="bg-BG"/>
            </w:rPr>
            <w:t>.201</w:t>
          </w:r>
          <w:r>
            <w:rPr>
              <w:sz w:val="22"/>
              <w:szCs w:val="22"/>
            </w:rPr>
            <w:t>9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-415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16"/>
      <w:gridCol w:w="1569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„</w:t>
          </w:r>
          <w:r>
            <w:rPr>
              <w:b/>
              <w:szCs w:val="24"/>
            </w:rPr>
            <w:t>Витоша газ“  ЕООД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>
              <w:b/>
            </w:rPr>
            <w:t>IP 0</w:t>
          </w:r>
          <w:r>
            <w:rPr>
              <w:b/>
              <w:lang w:val="bg-BG"/>
            </w:rPr>
            <w:t>9</w:t>
          </w:r>
          <w:r>
            <w:rPr>
              <w:b/>
            </w:rPr>
            <w:t>.0</w:t>
          </w:r>
          <w:r>
            <w:rPr>
              <w:b/>
              <w:lang w:val="bg-BG"/>
            </w:rPr>
            <w:t>3</w:t>
          </w:r>
          <w:r>
            <w:rPr>
              <w:b/>
            </w:rPr>
            <w:t>.0</w:t>
          </w:r>
          <w:r>
            <w:rPr>
              <w:b/>
              <w:lang w:val="bg-BG"/>
            </w:rPr>
            <w:t>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/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1/7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Преглед от ръководството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51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000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>
              <w:sz w:val="22"/>
              <w:szCs w:val="22"/>
            </w:rPr>
            <w:t>0</w:t>
          </w:r>
          <w:r>
            <w:rPr>
              <w:sz w:val="22"/>
              <w:szCs w:val="22"/>
              <w:lang w:val="bg-BG"/>
            </w:rPr>
            <w:t>7.</w:t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  <w:lang w:val="bg-BG"/>
            </w:rPr>
            <w:t>.201</w:t>
          </w:r>
          <w:r>
            <w:rPr>
              <w:sz w:val="22"/>
              <w:szCs w:val="22"/>
            </w:rPr>
            <w:t>9</w:t>
          </w:r>
        </w:p>
      </w:tc>
    </w:tr>
    <w:tr>
      <w:trPr>
        <w:cantSplit/>
      </w:trPr>
      <w:tc>
        <w:tcPr>
          <w:tcW w:w="151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/>
            <w:t>Утвърдил</w:t>
          </w:r>
          <w:r>
            <w:rPr>
              <w:lang w:val="bg-BG"/>
            </w:rPr>
            <w:t>:</w:t>
          </w:r>
        </w:p>
      </w:tc>
      <w:tc>
        <w:tcPr>
          <w:tcW w:w="6000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>
              <w:sz w:val="22"/>
              <w:szCs w:val="22"/>
            </w:rPr>
            <w:t>0</w:t>
          </w:r>
          <w:r>
            <w:rPr>
              <w:sz w:val="22"/>
              <w:szCs w:val="22"/>
              <w:lang w:val="bg-BG"/>
            </w:rPr>
            <w:t>7.</w:t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  <w:lang w:val="bg-BG"/>
            </w:rPr>
            <w:t>.201</w:t>
          </w:r>
          <w:r>
            <w:rPr>
              <w:sz w:val="22"/>
              <w:szCs w:val="22"/>
            </w:rPr>
            <w:t>9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2"/>
      </w:numPr>
      <w:outlineLvl w:val="2"/>
    </w:pPr>
    <w:rPr>
      <w:b/>
      <w:sz w:val="22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Cs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u w:val="single"/>
    </w:rPr>
  </w:style>
  <w:style w:type="character" w:styleId="WW8Num18z0">
    <w:name w:val="WW8Num18z0"/>
    <w:qFormat/>
    <w:rPr/>
  </w:style>
  <w:style w:type="character" w:styleId="DefaultParagraphFont">
    <w:name w:val="Default Paragraph Font"/>
    <w:qFormat/>
    <w:rPr/>
  </w:style>
  <w:style w:type="character" w:styleId="Heading4Char">
    <w:name w:val="Heading 4 Char"/>
    <w:qFormat/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Heading5Char">
    <w:name w:val="Heading 5 Char"/>
    <w:qFormat/>
    <w:rPr>
      <w:rFonts w:ascii="Calibri" w:hAnsi="Calibri" w:eastAsia="Times New Roman" w:cs="Times New Roman"/>
      <w:b/>
      <w:bCs/>
      <w:i/>
      <w:iCs/>
      <w:sz w:val="26"/>
      <w:szCs w:val="26"/>
      <w:lang w:val="en-US"/>
    </w:rPr>
  </w:style>
  <w:style w:type="character" w:styleId="Heading6Char">
    <w:name w:val="Heading 6 Char"/>
    <w:qFormat/>
    <w:rPr>
      <w:rFonts w:ascii="Calibri" w:hAnsi="Calibri" w:eastAsia="Times New Roman" w:cs="Times New Roman"/>
      <w:b/>
      <w:bCs/>
      <w:sz w:val="22"/>
      <w:szCs w:val="22"/>
      <w:lang w:val="en-US"/>
    </w:rPr>
  </w:style>
  <w:style w:type="character" w:styleId="Heading7Char">
    <w:name w:val="Heading 7 Char"/>
    <w:qFormat/>
    <w:rPr>
      <w:rFonts w:ascii="Calibri" w:hAnsi="Calibri" w:eastAsia="Times New Roman" w:cs="Times New Roman"/>
      <w:sz w:val="24"/>
      <w:szCs w:val="24"/>
      <w:lang w:val="en-US"/>
    </w:rPr>
  </w:style>
  <w:style w:type="character" w:styleId="Heading8Char">
    <w:name w:val="Heading 8 Char"/>
    <w:qFormat/>
    <w:rPr>
      <w:rFonts w:ascii="Calibri" w:hAnsi="Calibri" w:eastAsia="Times New Roman" w:cs="Times New Roman"/>
      <w:i/>
      <w:iCs/>
      <w:sz w:val="24"/>
      <w:szCs w:val="24"/>
      <w:lang w:val="en-US"/>
    </w:rPr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/>
    <w:rPr>
      <w:i/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2001-08-23T03:21:00Z</dcterms:created>
  <dc:creator>ws</dc:creator>
  <dc:description/>
  <cp:keywords/>
  <dc:language>bg-BG</dc:language>
  <cp:lastModifiedBy>Julia</cp:lastModifiedBy>
  <cp:lastPrinted>2002-04-18T01:06:00Z</cp:lastPrinted>
  <dcterms:modified xsi:type="dcterms:W3CDTF">2019-11-06T21:43:00Z</dcterms:modified>
  <cp:revision>82</cp:revision>
  <dc:subject/>
  <dc:title>1</dc:title>
</cp:coreProperties>
</file>