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bg-BG"/>
        </w:rPr>
      </w:pPr>
      <w:r>
        <w:rPr>
          <w:lang w:val="bg-BG"/>
        </w:rPr>
        <w:t>ПОЛИТИКА ПО ЗДРАВЕ И БЕЗОПАСНОСТ ПРИ РАБОТА</w:t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  <w:t>на „СМП ПЛЕВЕН“ ЕООД</w:t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/>
      </w:pPr>
      <w:r>
        <w:rPr>
          <w:lang w:val="bg-BG"/>
        </w:rPr>
        <w:t>„</w:t>
      </w:r>
      <w:r>
        <w:rPr>
          <w:b w:val="false"/>
          <w:lang w:val="bg-BG"/>
        </w:rPr>
        <w:t>СМП ПЛЕВЕН“ ЕООД е дружество, извършващо монтажна, машинно-ремонтна и строително-монтажна дейност, свързана с работа с машини, съоръжения, инструменти и строителни обекти. В тази връзка здравето и безопасността при работа са основен приоритет и неразделна част от управлението на дейността.</w:t>
      </w:r>
    </w:p>
    <w:p>
      <w:pPr>
        <w:pStyle w:val="Normal"/>
        <w:jc w:val="center"/>
        <w:rPr>
          <w:lang w:val="bg-BG"/>
        </w:rPr>
      </w:pPr>
      <w:r>
        <w:rPr>
          <w:b w:val="false"/>
          <w:lang w:val="bg-BG"/>
        </w:rPr>
        <w:t>Ръководството на дружеството декларира своята пълна ангажираност към осигуряване на здравословни и безопасни условия на труд за всички работници, служители, подизпълнители и други заинтересовани страни, като се стреми към предотвратяване на наранявания и влошаване на здравето и към непрекъснато подобряване на условията на труд.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ОСНОВНИ ПРИНЦИПИ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Политиката по здраве и безопасност при работа се основава на следните принципи:</w:t>
      </w:r>
    </w:p>
    <w:p>
      <w:pPr>
        <w:pStyle w:val="Normal"/>
        <w:numPr>
          <w:ilvl w:val="0"/>
          <w:numId w:val="4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Превенция на риска чрез идентифициране и елиминиране на опасности; </w:t>
      </w:r>
    </w:p>
    <w:p>
      <w:pPr>
        <w:pStyle w:val="Normal"/>
        <w:numPr>
          <w:ilvl w:val="0"/>
          <w:numId w:val="4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Безопасността е приоритет пред срокове и производителност; </w:t>
      </w:r>
    </w:p>
    <w:p>
      <w:pPr>
        <w:pStyle w:val="Normal"/>
        <w:numPr>
          <w:ilvl w:val="0"/>
          <w:numId w:val="4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Активно участие и ангажираност на персонала; </w:t>
      </w:r>
    </w:p>
    <w:p>
      <w:pPr>
        <w:pStyle w:val="Normal"/>
        <w:numPr>
          <w:ilvl w:val="0"/>
          <w:numId w:val="4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Непрекъснато подобрение на условията на труд и работната среда. 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АНГАЖИМЕНТИ НА РЪКОВОДСТВОТО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Ръководството на „СМП ПЛЕВЕН“ ЕООД поема ангажимент да: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1. Осигурява безопасна и здравословна работна среда</w:t>
      </w:r>
    </w:p>
    <w:p>
      <w:pPr>
        <w:pStyle w:val="Normal"/>
        <w:numPr>
          <w:ilvl w:val="0"/>
          <w:numId w:val="7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контролира рисковете при работа с машини, оборудване и инструменти; </w:t>
      </w:r>
    </w:p>
    <w:p>
      <w:pPr>
        <w:pStyle w:val="Normal"/>
        <w:numPr>
          <w:ilvl w:val="0"/>
          <w:numId w:val="7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управление на рисковете при ремонт и поддръжка на машини и оборудване; </w:t>
      </w:r>
    </w:p>
    <w:p>
      <w:pPr>
        <w:pStyle w:val="Normal"/>
        <w:numPr>
          <w:ilvl w:val="0"/>
          <w:numId w:val="7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минимизира рисковете при работа с електрооборудване, повдигателна техника, тежки детайли, механизация и съоръжения под налягане; </w:t>
      </w:r>
    </w:p>
    <w:p>
      <w:pPr>
        <w:pStyle w:val="Normal"/>
        <w:numPr>
          <w:ilvl w:val="0"/>
          <w:numId w:val="7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предотвратява трудови злополуки и професионални заболявания. 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2. Управлява системно рисковете и възможностите</w:t>
      </w:r>
    </w:p>
    <w:p>
      <w:pPr>
        <w:pStyle w:val="Normal"/>
        <w:numPr>
          <w:ilvl w:val="0"/>
          <w:numId w:val="3"/>
        </w:numPr>
        <w:rPr>
          <w:b w:val="false"/>
          <w:lang w:val="bg-BG"/>
        </w:rPr>
      </w:pPr>
      <w:r>
        <w:rPr>
          <w:b w:val="false"/>
          <w:lang w:val="bg-BG"/>
        </w:rPr>
        <w:t>елиминиране на опасности още на етап планиране на дейностите;</w:t>
      </w:r>
    </w:p>
    <w:p>
      <w:pPr>
        <w:pStyle w:val="Normal"/>
        <w:numPr>
          <w:ilvl w:val="0"/>
          <w:numId w:val="3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извършва оценка на риска за всички дейности; </w:t>
      </w:r>
    </w:p>
    <w:p>
      <w:pPr>
        <w:pStyle w:val="Normal"/>
        <w:numPr>
          <w:ilvl w:val="0"/>
          <w:numId w:val="3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прилага технически и организационни мерки за контрол; </w:t>
      </w:r>
    </w:p>
    <w:p>
      <w:pPr>
        <w:pStyle w:val="Normal"/>
        <w:numPr>
          <w:ilvl w:val="0"/>
          <w:numId w:val="3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анализира инциденти и въвежда коригиращи и превантивни действия. 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3. Спазва нормативните и стандартните изисквания</w:t>
      </w:r>
    </w:p>
    <w:p>
      <w:pPr>
        <w:pStyle w:val="Normal"/>
        <w:numPr>
          <w:ilvl w:val="0"/>
          <w:numId w:val="9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осигурява съответствие с приложимото законодателство по ЗБУТ; </w:t>
      </w:r>
    </w:p>
    <w:p>
      <w:pPr>
        <w:pStyle w:val="Normal"/>
        <w:numPr>
          <w:ilvl w:val="0"/>
          <w:numId w:val="9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прилага изискванията на БДС EN ISO 45001:2023; </w:t>
      </w:r>
    </w:p>
    <w:p>
      <w:pPr>
        <w:pStyle w:val="Normal"/>
        <w:numPr>
          <w:ilvl w:val="0"/>
          <w:numId w:val="9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спазва договорни изисквания и изисквания на възложители. 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4. Осигурява участие и консултиране на работниците</w:t>
      </w:r>
    </w:p>
    <w:p>
      <w:pPr>
        <w:pStyle w:val="Normal"/>
        <w:numPr>
          <w:ilvl w:val="0"/>
          <w:numId w:val="2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насърчава служителите да сигнализират за опасности и несъответствия; </w:t>
      </w:r>
    </w:p>
    <w:p>
      <w:pPr>
        <w:pStyle w:val="Normal"/>
        <w:numPr>
          <w:ilvl w:val="0"/>
          <w:numId w:val="2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включва персонала в процесите по оценка на риска; </w:t>
      </w:r>
    </w:p>
    <w:p>
      <w:pPr>
        <w:pStyle w:val="Normal"/>
        <w:numPr>
          <w:ilvl w:val="0"/>
          <w:numId w:val="2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гарантиране на открита комуникация по въпросите на безопасността. 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5. Осигурява ресурси и условия за безопасна работа</w:t>
      </w:r>
    </w:p>
    <w:p>
      <w:pPr>
        <w:pStyle w:val="Normal"/>
        <w:numPr>
          <w:ilvl w:val="0"/>
          <w:numId w:val="8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предоставя необходимите човешки, технически и финансови ресурси; </w:t>
      </w:r>
    </w:p>
    <w:p>
      <w:pPr>
        <w:pStyle w:val="Normal"/>
        <w:numPr>
          <w:ilvl w:val="0"/>
          <w:numId w:val="8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осигурява подходящи лични предпазни средства; </w:t>
      </w:r>
    </w:p>
    <w:p>
      <w:pPr>
        <w:pStyle w:val="Normal"/>
        <w:numPr>
          <w:ilvl w:val="0"/>
          <w:numId w:val="8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поддържа безопасна и ефективна работна среда. </w:t>
      </w:r>
    </w:p>
    <w:p>
      <w:pPr>
        <w:pStyle w:val="Normal"/>
        <w:numPr>
          <w:ilvl w:val="0"/>
          <w:numId w:val="8"/>
        </w:numPr>
        <w:rPr>
          <w:b w:val="false"/>
          <w:lang w:val="bg-BG"/>
        </w:rPr>
      </w:pPr>
      <w:r>
        <w:rPr>
          <w:b w:val="false"/>
          <w:lang w:val="bg-BG"/>
        </w:rPr>
        <w:t>използване на технически изправно оборудване;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6. Развива компетентността и културата на безопасност</w:t>
      </w:r>
    </w:p>
    <w:p>
      <w:pPr>
        <w:pStyle w:val="Normal"/>
        <w:numPr>
          <w:ilvl w:val="0"/>
          <w:numId w:val="10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провежда обучения, инструктажи и квалификационни програми; </w:t>
      </w:r>
    </w:p>
    <w:p>
      <w:pPr>
        <w:pStyle w:val="Normal"/>
        <w:numPr>
          <w:ilvl w:val="0"/>
          <w:numId w:val="10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повишава информираността за рисковете и добрите практики; </w:t>
      </w:r>
    </w:p>
    <w:p>
      <w:pPr>
        <w:pStyle w:val="Normal"/>
        <w:numPr>
          <w:ilvl w:val="0"/>
          <w:numId w:val="10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насърчава отговорно поведение при работа. </w:t>
      </w:r>
    </w:p>
    <w:p>
      <w:pPr>
        <w:pStyle w:val="Normal"/>
        <w:numPr>
          <w:ilvl w:val="0"/>
          <w:numId w:val="10"/>
        </w:numPr>
        <w:rPr>
          <w:b w:val="false"/>
          <w:lang w:val="bg-BG"/>
        </w:rPr>
      </w:pPr>
      <w:r>
        <w:rPr>
          <w:b w:val="false"/>
          <w:lang w:val="bg-BG"/>
        </w:rPr>
        <w:t>специализирани обучения за работа с машини и оборудване;</w:t>
      </w:r>
    </w:p>
    <w:p>
      <w:pPr>
        <w:pStyle w:val="Normal"/>
        <w:numPr>
          <w:ilvl w:val="0"/>
          <w:numId w:val="10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изграждане на култура на безопасност. 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7. Осигурява непрекъснато подобрение</w:t>
      </w:r>
    </w:p>
    <w:p>
      <w:pPr>
        <w:pStyle w:val="Normal"/>
        <w:numPr>
          <w:ilvl w:val="0"/>
          <w:numId w:val="6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извършва периодични прегледи на системата за управление; </w:t>
      </w:r>
    </w:p>
    <w:p>
      <w:pPr>
        <w:pStyle w:val="Normal"/>
        <w:numPr>
          <w:ilvl w:val="0"/>
          <w:numId w:val="6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определя и проследява цели по ЗБУТ; </w:t>
      </w:r>
    </w:p>
    <w:p>
      <w:pPr>
        <w:pStyle w:val="Normal"/>
        <w:numPr>
          <w:ilvl w:val="0"/>
          <w:numId w:val="6"/>
        </w:numPr>
        <w:rPr>
          <w:lang w:val="bg-BG"/>
        </w:rPr>
      </w:pPr>
      <w:r>
        <w:rPr>
          <w:b w:val="false"/>
          <w:lang w:val="bg-BG"/>
        </w:rPr>
        <w:t xml:space="preserve">подобрява ефективността на процесите и условията на труд. 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  <w:t>СТРАТЕГИЧЕСКА НАСОЧЕНОСТ</w:t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„</w:t>
      </w:r>
      <w:r>
        <w:rPr>
          <w:b w:val="false"/>
          <w:lang w:val="bg-BG"/>
        </w:rPr>
        <w:t>СМП ПЛЕВЕН“ ЕООД разглежда човешкия ресурс като най-ценния актив и приема, че нито една дейност не е толкова спешна или важна, че да се извършва за сметка на здравето и безопасността.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Постигането на безопасна работна среда е основа за устойчиво развитие, високо качество на услугите и доверие от страна на клиентите и партньорите.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  <w:t>ПРИЛАГАНЕ И ПРЕГЛЕД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  <w:t>Настоящата политика:</w:t>
      </w:r>
    </w:p>
    <w:p>
      <w:pPr>
        <w:pStyle w:val="Normal"/>
        <w:numPr>
          <w:ilvl w:val="0"/>
          <w:numId w:val="5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се комуникира и прилага на всички нива в организацията; </w:t>
      </w:r>
    </w:p>
    <w:p>
      <w:pPr>
        <w:pStyle w:val="Normal"/>
        <w:numPr>
          <w:ilvl w:val="0"/>
          <w:numId w:val="5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е достъпна за всички заинтересовани страни; </w:t>
      </w:r>
    </w:p>
    <w:p>
      <w:pPr>
        <w:pStyle w:val="Normal"/>
        <w:numPr>
          <w:ilvl w:val="0"/>
          <w:numId w:val="5"/>
        </w:numPr>
        <w:rPr>
          <w:b w:val="false"/>
          <w:lang w:val="bg-BG"/>
        </w:rPr>
      </w:pPr>
      <w:r>
        <w:rPr>
          <w:b w:val="false"/>
          <w:lang w:val="bg-BG"/>
        </w:rPr>
        <w:t xml:space="preserve">се преразглежда периодично за актуалност и ефективност. 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</w:rPr>
      </w:pPr>
      <w:r>
        <w:rPr>
          <w:b w:val="false"/>
        </w:rPr>
      </w:r>
    </w:p>
    <w:p>
      <w:pPr>
        <w:pStyle w:val="Normal"/>
        <w:rPr/>
      </w:pPr>
      <w:r>
        <w:rPr>
          <w:b w:val="false"/>
          <w:lang w:val="bg-BG"/>
        </w:rPr>
        <w:t xml:space="preserve">    </w:t>
      </w:r>
      <w:r>
        <w:rPr>
          <w:b w:val="false"/>
        </w:rPr>
        <w:t>Дата: 12.01.2026г.</w:t>
      </w:r>
      <w:r>
        <w:rPr>
          <w:b w:val="false"/>
          <w:lang w:val="bg-BG"/>
        </w:rPr>
        <w:t xml:space="preserve">                                                                </w:t>
      </w:r>
      <w:r>
        <w:rPr>
          <w:b w:val="false"/>
        </w:rPr>
        <w:t>Управител: …………………</w:t>
      </w:r>
    </w:p>
    <w:p>
      <w:pPr>
        <w:pStyle w:val="Normal"/>
        <w:rPr>
          <w:rFonts w:ascii="Calibri" w:hAnsi="Calibri" w:cs="Segoe UI Symbol"/>
          <w:b w:val="false"/>
          <w:lang w:val="bg-BG"/>
        </w:rPr>
      </w:pPr>
      <w:r>
        <w:rPr>
          <w:rFonts w:cs="Segoe UI Symbol" w:ascii="Calibri" w:hAnsi="Calibri"/>
          <w:b w:val="false"/>
          <w:lang w:val="bg-BG"/>
        </w:rPr>
        <w:t xml:space="preserve">                                                                                                                       </w:t>
      </w:r>
    </w:p>
    <w:p>
      <w:pPr>
        <w:pStyle w:val="Normal"/>
        <w:rPr>
          <w:b w:val="false"/>
          <w:lang w:val="bg-BG"/>
        </w:rPr>
      </w:pPr>
      <w:r>
        <w:rPr>
          <w:rFonts w:cs="Segoe UI Symbol" w:ascii="Calibri" w:hAnsi="Calibri"/>
          <w:b w:val="false"/>
          <w:lang w:val="bg-BG"/>
        </w:rPr>
        <w:t xml:space="preserve">                                                                                                                           </w:t>
      </w:r>
      <w:r>
        <w:rPr>
          <w:b w:val="false"/>
        </w:rPr>
        <w:t>Подпис: …………………</w:t>
      </w:r>
      <w:r>
        <w:rPr>
          <w:b w:val="false"/>
          <w:lang w:val="bg-BG"/>
        </w:rPr>
        <w:t>......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720" w:right="720" w:gutter="0" w:header="720" w:top="776" w:footer="720" w:bottom="776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23400" w:type="dxa"/>
      <w:jc w:val="start"/>
      <w:tblInd w:w="61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20"/>
      <w:gridCol w:w="3420"/>
      <w:gridCol w:w="3420"/>
      <w:gridCol w:w="3420"/>
      <w:gridCol w:w="7740"/>
      <w:gridCol w:w="1980"/>
    </w:tblGrid>
    <w:tr>
      <w:trPr>
        <w:cantSplit/>
      </w:trPr>
      <w:tc>
        <w:tcPr>
          <w:tcW w:w="342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en-US"/>
            </w:rPr>
          </w:r>
        </w:p>
      </w:tc>
      <w:tc>
        <w:tcPr>
          <w:tcW w:w="342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en-US"/>
            </w:rPr>
          </w:r>
        </w:p>
      </w:tc>
      <w:tc>
        <w:tcPr>
          <w:tcW w:w="3420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rStyle w:val="PageNumber"/>
              <w:b/>
              <w:sz w:val="20"/>
              <w:lang w:val="bg-BG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</w:t>
          </w:r>
          <w:r>
            <w:rPr>
              <w:rStyle w:val="PageNumber"/>
              <w:b/>
              <w:sz w:val="20"/>
            </w:rPr>
            <w:fldChar w:fldCharType="end"/>
          </w:r>
        </w:p>
      </w:tc>
      <w:tc>
        <w:tcPr>
          <w:tcW w:w="3420" w:type="dxa"/>
          <w:tcBorders>
            <w:top w:val="single" w:sz="6" w:space="0" w:color="000000"/>
          </w:tcBorders>
        </w:tcPr>
        <w:p>
          <w:pPr>
            <w:pStyle w:val="Footer"/>
            <w:tabs>
              <w:tab w:val="clear" w:pos="9072"/>
              <w:tab w:val="right" w:pos="14175" w:leader="none"/>
            </w:tabs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7740" w:type="dxa"/>
          <w:tcBorders>
            <w:top w:val="single" w:sz="6" w:space="0" w:color="000000"/>
          </w:tcBorders>
        </w:tcPr>
        <w:p>
          <w:pPr>
            <w:pStyle w:val="Footer"/>
            <w:tabs>
              <w:tab w:val="clear" w:pos="9072"/>
              <w:tab w:val="right" w:pos="14175" w:leader="none"/>
            </w:tabs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1980" w:type="dxa"/>
          <w:tcBorders>
            <w:top w:val="single" w:sz="6" w:space="0" w:color="000000"/>
          </w:tcBorders>
        </w:tcPr>
        <w:p>
          <w:pPr>
            <w:pStyle w:val="Footer"/>
            <w:tabs>
              <w:tab w:val="clear" w:pos="9072"/>
              <w:tab w:val="right" w:pos="14175" w:leader="none"/>
            </w:tabs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Стр</w:t>
          </w:r>
          <w:r>
            <w:rPr>
              <w:b w:val="false"/>
              <w:sz w:val="20"/>
              <w:szCs w:val="20"/>
              <w:lang w:val="bg-BG"/>
            </w:rPr>
            <w:t>.</w:t>
          </w:r>
          <w:r>
            <w:rPr>
              <w:b w:val="false"/>
              <w:sz w:val="20"/>
              <w:szCs w:val="20"/>
            </w:rPr>
            <w:t xml:space="preserve">: </w:t>
          </w:r>
          <w:r>
            <w:rPr>
              <w:rStyle w:val="PageNumber"/>
              <w:b/>
              <w:sz w:val="20"/>
              <w:szCs w:val="20"/>
            </w:rPr>
            <w:fldChar w:fldCharType="begin"/>
          </w:r>
          <w:r>
            <w:rPr>
              <w:rStyle w:val="PageNumber"/>
              <w:b/>
              <w:sz w:val="20"/>
              <w:szCs w:val="20"/>
            </w:rPr>
            <w:instrText xml:space="preserve"> PAGE </w:instrText>
          </w:r>
          <w:r>
            <w:rPr>
              <w:rStyle w:val="PageNumber"/>
              <w:b/>
              <w:sz w:val="20"/>
              <w:szCs w:val="20"/>
            </w:rPr>
            <w:fldChar w:fldCharType="separate"/>
          </w:r>
          <w:r>
            <w:rPr>
              <w:rStyle w:val="PageNumber"/>
              <w:b/>
              <w:sz w:val="20"/>
              <w:szCs w:val="20"/>
            </w:rPr>
            <w:t>2</w:t>
          </w:r>
          <w:r>
            <w:rPr>
              <w:rStyle w:val="PageNumber"/>
              <w:b/>
              <w:sz w:val="20"/>
              <w:szCs w:val="20"/>
            </w:rPr>
            <w:fldChar w:fldCharType="end"/>
          </w:r>
          <w:r>
            <w:rPr>
              <w:b w:val="false"/>
              <w:sz w:val="20"/>
              <w:szCs w:val="20"/>
            </w:rPr>
            <w:t xml:space="preserve"> </w:t>
          </w:r>
          <w:r>
            <w:rPr>
              <w:b w:val="false"/>
              <w:sz w:val="20"/>
              <w:szCs w:val="20"/>
              <w:lang w:val="bg-BG"/>
            </w:rPr>
            <w:t>от</w:t>
          </w:r>
          <w:r>
            <w:rPr>
              <w:b w:val="false"/>
              <w:sz w:val="20"/>
              <w:szCs w:val="20"/>
            </w:rPr>
            <w:t xml:space="preserve"> </w:t>
          </w:r>
          <w:r>
            <w:rPr>
              <w:rStyle w:val="PageNumber"/>
              <w:b/>
              <w:sz w:val="20"/>
              <w:szCs w:val="20"/>
            </w:rPr>
            <w:fldChar w:fldCharType="begin"/>
          </w:r>
          <w:r>
            <w:rPr>
              <w:rStyle w:val="PageNumber"/>
              <w:b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  <w:szCs w:val="20"/>
            </w:rPr>
            <w:fldChar w:fldCharType="separate"/>
          </w:r>
          <w:r>
            <w:rPr>
              <w:rStyle w:val="PageNumber"/>
              <w:b/>
              <w:sz w:val="20"/>
              <w:szCs w:val="20"/>
            </w:rPr>
            <w:t>2</w:t>
          </w:r>
          <w:r>
            <w:rPr>
              <w:rStyle w:val="PageNumber"/>
              <w:b/>
              <w:sz w:val="20"/>
              <w:szCs w:val="20"/>
            </w:rPr>
            <w:fldChar w:fldCharType="end"/>
          </w:r>
        </w:p>
      </w:tc>
    </w:tr>
    <w:tr>
      <w:trPr>
        <w:cantSplit/>
      </w:trPr>
      <w:tc>
        <w:tcPr>
          <w:tcW w:w="3420" w:type="dxa"/>
          <w:tcBorders/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3420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  <w:tc>
        <w:tcPr>
          <w:tcW w:w="3420" w:type="dxa"/>
          <w:tcBorders/>
        </w:tcPr>
        <w:p>
          <w:pPr>
            <w:pStyle w:val="Footer"/>
            <w:tabs>
              <w:tab w:val="clear" w:pos="9072"/>
              <w:tab w:val="right" w:pos="14175" w:leader="none"/>
            </w:tabs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7740" w:type="dxa"/>
          <w:tcBorders/>
        </w:tcPr>
        <w:p>
          <w:pPr>
            <w:pStyle w:val="Footer"/>
            <w:tabs>
              <w:tab w:val="clear" w:pos="9072"/>
              <w:tab w:val="right" w:pos="14175" w:leader="none"/>
            </w:tabs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1980" w:type="dxa"/>
          <w:tcBorders/>
        </w:tcPr>
        <w:p>
          <w:pPr>
            <w:pStyle w:val="Footer"/>
            <w:tabs>
              <w:tab w:val="clear" w:pos="9072"/>
              <w:tab w:val="right" w:pos="14175" w:leader="none"/>
            </w:tabs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Дата: 12.01.2026</w:t>
          </w:r>
        </w:p>
      </w:tc>
    </w:tr>
  </w:tbl>
  <w:p>
    <w:pPr>
      <w:pStyle w:val="Footer"/>
      <w:tabs>
        <w:tab w:val="clear" w:pos="9072"/>
      </w:tabs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32" w:type="dxa"/>
      <w:jc w:val="start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421"/>
      <w:gridCol w:w="6518"/>
      <w:gridCol w:w="1293"/>
    </w:tblGrid>
    <w:tr>
      <w:trPr>
        <w:trHeight w:val="915" w:hRule="exact"/>
        <w:cantSplit/>
      </w:trPr>
      <w:tc>
        <w:tcPr>
          <w:tcW w:w="2421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lang w:val="bg-BG"/>
            </w:rPr>
            <w:t>СМП ПЛЕВЕН ЕООД</w:t>
          </w:r>
        </w:p>
      </w:tc>
      <w:tc>
        <w:tcPr>
          <w:tcW w:w="651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en-US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1293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  <w:lang w:val="ru-RU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  <w:lang w:val="ru-RU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  <w:lang w:val="ru-RU"/>
            </w:rPr>
            <w:t>2-0</w:t>
          </w:r>
          <w:r>
            <w:rPr>
              <w:b w:val="false"/>
              <w:lang w:val="bg-BG"/>
            </w:rPr>
            <w:t>2</w:t>
          </w:r>
        </w:p>
      </w:tc>
    </w:tr>
    <w:tr>
      <w:trPr>
        <w:trHeight w:val="875" w:hRule="exact"/>
        <w:cantSplit/>
      </w:trPr>
      <w:tc>
        <w:tcPr>
          <w:tcW w:w="2421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651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3"/>
            <w:spacing w:before="240" w:after="60"/>
            <w:ind w:hanging="0" w:start="0"/>
            <w:jc w:val="center"/>
            <w:rPr>
              <w:b w:val="false"/>
              <w:lang w:val="bg-BG"/>
            </w:rPr>
          </w:pPr>
          <w:r>
            <w:rPr/>
            <w:t>ПОЛИТИКА ПО ЗДРАВЕ И БЕЗОПАСНОСТ ПРИ РАБОТА</w:t>
          </w:r>
        </w:p>
      </w:tc>
      <w:tc>
        <w:tcPr>
          <w:tcW w:w="1293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ru-RU"/>
            </w:rPr>
          </w:pPr>
          <w:r>
            <w:rPr>
              <w:b w:val="false"/>
              <w:lang w:val="ru-RU"/>
            </w:rPr>
          </w:r>
        </w:p>
      </w:tc>
    </w:tr>
  </w:tbl>
  <w:p>
    <w:pPr>
      <w:pStyle w:val="Header"/>
      <w:tabs>
        <w:tab w:val="clear" w:pos="4536"/>
        <w:tab w:val="clear" w:pos="9072"/>
      </w:tabs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bCs/>
      <w:color w:val="auto"/>
      <w:sz w:val="24"/>
      <w:szCs w:val="24"/>
      <w:lang w:val="de-D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libri Light" w:hAnsi="Calibri Light" w:eastAsia="Times New Roman" w:cs="Times New Roman"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start="-199" w:end="-71"/>
      <w:jc w:val="center"/>
      <w:outlineLvl w:val="3"/>
    </w:pPr>
    <w:rPr>
      <w:sz w:val="28"/>
      <w:szCs w:val="28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6z1">
    <w:name w:val="WW8Num16z1"/>
    <w:qFormat/>
    <w:rPr>
      <w:rFonts w:ascii="Courier New" w:hAnsi="Courier New" w:cs="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8z0">
    <w:name w:val="WW8Num18z0"/>
    <w:qFormat/>
    <w:rPr>
      <w:rFonts w:ascii="Symbol" w:hAnsi="Symbol" w:cs="Symbol"/>
      <w:sz w:val="20"/>
    </w:rPr>
  </w:style>
  <w:style w:type="character" w:styleId="WW8Num18z1">
    <w:name w:val="WW8Num18z1"/>
    <w:qFormat/>
    <w:rPr>
      <w:rFonts w:ascii="Courier New" w:hAnsi="Courier New" w:cs="Courier New"/>
      <w:sz w:val="20"/>
    </w:rPr>
  </w:style>
  <w:style w:type="character" w:styleId="WW8Num18z2">
    <w:name w:val="WW8Num18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bCs/>
      <w:sz w:val="24"/>
      <w:szCs w:val="24"/>
      <w:lang w:val="de-DE"/>
    </w:rPr>
  </w:style>
  <w:style w:type="character" w:styleId="Heading2Char">
    <w:name w:val="Heading 2 Char"/>
    <w:qFormat/>
    <w:rPr>
      <w:rFonts w:ascii="Calibri Light" w:hAnsi="Calibri Light" w:eastAsia="Times New Roman" w:cs="Times New Roman"/>
      <w:b/>
      <w:bCs/>
      <w:i/>
      <w:iCs/>
      <w:sz w:val="28"/>
      <w:szCs w:val="28"/>
      <w:lang w:val="de-DE"/>
    </w:rPr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342">
    <w:name w:val="Body Text 342"/>
    <w:basedOn w:val="Normal"/>
    <w:qFormat/>
    <w:pPr>
      <w:jc w:val="both"/>
    </w:pPr>
    <w:rPr>
      <w:rFonts w:cs="Times New Roman"/>
      <w:b w:val="false"/>
      <w:bCs w:val="false"/>
      <w:szCs w:val="20"/>
      <w:lang w:bidi="he-I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2005-10-23T20:49:00Z</dcterms:created>
  <dc:creator>Nikolaj</dc:creator>
  <dc:description/>
  <cp:keywords/>
  <dc:language>bg-BG</dc:language>
  <cp:lastModifiedBy>Георги Георгиев</cp:lastModifiedBy>
  <cp:lastPrinted>2007-11-14T16:24:00Z</cp:lastPrinted>
  <dcterms:modified xsi:type="dcterms:W3CDTF">2026-03-23T19:56:00Z</dcterms:modified>
  <cp:revision>95</cp:revision>
  <dc:subject/>
  <dc:title/>
</cp:coreProperties>
</file>