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>
          <w:lang w:val="bg-BG"/>
        </w:rPr>
      </w:pPr>
      <w:r>
        <w:rPr>
          <w:lang w:val="bg-BG"/>
        </w:rPr>
        <w:t>2</w:t>
        <w:tab/>
        <w:t xml:space="preserve">Лидерство </w:t>
      </w:r>
    </w:p>
    <w:p>
      <w:pPr>
        <w:pStyle w:val="Normal"/>
        <w:jc w:val="both"/>
        <w:rPr>
          <w:rFonts w:cs="Arial"/>
          <w:sz w:val="22"/>
          <w:szCs w:val="24"/>
          <w:lang w:val="bg-BG"/>
        </w:rPr>
      </w:pPr>
      <w:r>
        <w:rPr>
          <w:rFonts w:cs="Arial"/>
          <w:sz w:val="22"/>
          <w:szCs w:val="24"/>
          <w:lang w:val="bg-BG"/>
        </w:rPr>
      </w:r>
    </w:p>
    <w:p>
      <w:pPr>
        <w:pStyle w:val="Normal"/>
        <w:jc w:val="both"/>
        <w:rPr>
          <w:rFonts w:cs="Arial"/>
          <w:sz w:val="28"/>
          <w:szCs w:val="24"/>
          <w:lang w:val="bg-BG"/>
        </w:rPr>
      </w:pPr>
      <w:r>
        <w:rPr>
          <w:rFonts w:cs="Arial"/>
          <w:sz w:val="28"/>
          <w:szCs w:val="24"/>
          <w:lang w:val="bg-BG"/>
        </w:rPr>
        <w:t>2.1. Лидерство и ангажираност</w:t>
      </w:r>
    </w:p>
    <w:p>
      <w:pPr>
        <w:pStyle w:val="Normal"/>
        <w:ind w:firstLine="708" w:end="0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</w:r>
    </w:p>
    <w:p>
      <w:pPr>
        <w:pStyle w:val="Normal"/>
        <w:ind w:firstLine="708" w:end="0"/>
        <w:jc w:val="both"/>
        <w:rPr/>
      </w:pPr>
      <w:r>
        <w:rPr>
          <w:rFonts w:cs="Arial"/>
          <w:b w:val="false"/>
          <w:sz w:val="22"/>
          <w:szCs w:val="24"/>
          <w:lang w:val="bg-BG"/>
        </w:rPr>
        <w:t>Управителят на СМП ПЛЕВЕН ЕООД носи отговорността за провеждането на политиката на дружеството и контрола по ефективното действие на СУ. Ангажираността на ръководството се изразява в:</w:t>
      </w:r>
    </w:p>
    <w:p>
      <w:pPr>
        <w:pStyle w:val="Normal"/>
        <w:numPr>
          <w:ilvl w:val="0"/>
          <w:numId w:val="6"/>
        </w:numPr>
        <w:ind w:hanging="360" w:start="1134" w:end="0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  <w:t>изготвяне на политика и цели по ЗБР, съвместими с контекста на организацията и стратегическата ѝ насоченост, както и осигуряване на необходимите ресурси за изпълнението им;</w:t>
      </w:r>
    </w:p>
    <w:p>
      <w:pPr>
        <w:pStyle w:val="Normal"/>
        <w:numPr>
          <w:ilvl w:val="0"/>
          <w:numId w:val="6"/>
        </w:numPr>
        <w:ind w:hanging="360" w:start="1134" w:end="0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  <w:t>насрочването и провеждането на оперативни срещи с цел запознаване на служителите със значимостта клиентите на компанията да бъдат удовлетворени;</w:t>
      </w:r>
    </w:p>
    <w:p>
      <w:pPr>
        <w:pStyle w:val="Normal"/>
        <w:numPr>
          <w:ilvl w:val="0"/>
          <w:numId w:val="6"/>
        </w:numPr>
        <w:ind w:hanging="360" w:start="1134" w:end="0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  <w:t>насрочването и провеждането на оперативни срещи с цел запознаване на служителите с изискванията на държавни нормативни актове;</w:t>
      </w:r>
    </w:p>
    <w:p>
      <w:pPr>
        <w:pStyle w:val="Normal"/>
        <w:numPr>
          <w:ilvl w:val="0"/>
          <w:numId w:val="6"/>
        </w:numPr>
        <w:ind w:hanging="360" w:start="1134" w:end="0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  <w:t>насрочването и провеждането на оперативни срещи с цел запознаване на служителите с необходимостта от въвеждането и поддържането на СУ;</w:t>
      </w:r>
    </w:p>
    <w:p>
      <w:pPr>
        <w:pStyle w:val="Normal"/>
        <w:numPr>
          <w:ilvl w:val="0"/>
          <w:numId w:val="6"/>
        </w:numPr>
        <w:ind w:hanging="360" w:start="1134" w:end="0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  <w:t>осигуряване интегрирането на изискванията на СУ в бизнес процесите на дружеството и постигане на очакваните резултати на СУ;</w:t>
      </w:r>
    </w:p>
    <w:p>
      <w:pPr>
        <w:pStyle w:val="Normal"/>
        <w:numPr>
          <w:ilvl w:val="0"/>
          <w:numId w:val="6"/>
        </w:numPr>
        <w:ind w:hanging="360" w:start="1134" w:end="0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  <w:t>извършване на вътрешни одити на СУ за удостоверяване ефикасността и ефективността от функционирането на системата и за определяне необходимостта от актуализиране или изменение;</w:t>
      </w:r>
    </w:p>
    <w:p>
      <w:pPr>
        <w:pStyle w:val="Normal"/>
        <w:numPr>
          <w:ilvl w:val="0"/>
          <w:numId w:val="6"/>
        </w:numPr>
        <w:ind w:hanging="360" w:start="1134" w:end="0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  <w:t>осигуряването на необходимите материални, човешки и финансови ресурси, инфраструктура и работна среда за постигане на съответствие с изискванията на стандарта БДС EN ISO 45001:2023;</w:t>
      </w:r>
    </w:p>
    <w:p>
      <w:pPr>
        <w:pStyle w:val="Normal"/>
        <w:numPr>
          <w:ilvl w:val="0"/>
          <w:numId w:val="6"/>
        </w:numPr>
        <w:ind w:hanging="360" w:start="1134" w:end="0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  <w:t>полагането на грижа за повишаване на познанията и квалификацията на служители в дружеството;</w:t>
      </w:r>
    </w:p>
    <w:p>
      <w:pPr>
        <w:pStyle w:val="Normal"/>
        <w:numPr>
          <w:ilvl w:val="0"/>
          <w:numId w:val="6"/>
        </w:numPr>
        <w:ind w:hanging="360" w:start="1134" w:end="0"/>
        <w:jc w:val="both"/>
        <w:rPr>
          <w:rFonts w:cs="Arial"/>
          <w:b w:val="false"/>
          <w:sz w:val="22"/>
          <w:szCs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  <w:t>насърчаване на процесния подход, мисленето, основано на риска и подобряването, както и подкрепа на други управленски роли да доказват лидерството си в своите сфери на отговорност.</w:t>
      </w:r>
    </w:p>
    <w:p>
      <w:pPr>
        <w:pStyle w:val="Normal"/>
        <w:numPr>
          <w:ilvl w:val="0"/>
          <w:numId w:val="6"/>
        </w:numPr>
        <w:ind w:hanging="360" w:start="1134" w:end="0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b w:val="false"/>
          <w:sz w:val="22"/>
          <w:szCs w:val="22"/>
        </w:rPr>
        <w:t xml:space="preserve">ангажимент за осигуряване на здравословни и безопасни условия за работа за предотвратяване на свързани с работата наранявания и заболявания, </w:t>
      </w:r>
      <w:r>
        <w:rPr>
          <w:b w:val="false"/>
          <w:sz w:val="22"/>
          <w:szCs w:val="22"/>
          <w:lang w:val="bg-BG"/>
        </w:rPr>
        <w:t xml:space="preserve">съобразено с </w:t>
      </w:r>
      <w:r>
        <w:rPr>
          <w:b w:val="false"/>
          <w:sz w:val="22"/>
          <w:szCs w:val="22"/>
        </w:rPr>
        <w:t>големината и контекста на организацията и за специфичния характер на нейните рискове за ЗБР и възможности за</w:t>
      </w:r>
      <w:r>
        <w:rPr>
          <w:b w:val="false"/>
          <w:spacing w:val="-1"/>
          <w:sz w:val="22"/>
          <w:szCs w:val="22"/>
        </w:rPr>
        <w:t xml:space="preserve"> </w:t>
      </w:r>
      <w:r>
        <w:rPr>
          <w:b w:val="false"/>
          <w:sz w:val="22"/>
          <w:szCs w:val="22"/>
        </w:rPr>
        <w:t>ЗБР</w:t>
      </w:r>
    </w:p>
    <w:p>
      <w:pPr>
        <w:pStyle w:val="Normal"/>
        <w:ind w:start="1134" w:end="0"/>
        <w:jc w:val="both"/>
        <w:rPr>
          <w:rFonts w:cs="Arial"/>
          <w:b w:val="false"/>
          <w:color w:val="FF0000"/>
          <w:sz w:val="22"/>
          <w:szCs w:val="22"/>
          <w:lang w:val="bg-BG"/>
        </w:rPr>
      </w:pPr>
      <w:r>
        <w:rPr>
          <w:rFonts w:cs="Arial"/>
          <w:b w:val="false"/>
          <w:color w:val="FF0000"/>
          <w:sz w:val="22"/>
          <w:szCs w:val="22"/>
          <w:lang w:val="bg-BG"/>
        </w:rPr>
      </w:r>
    </w:p>
    <w:p>
      <w:pPr>
        <w:pStyle w:val="Normal"/>
        <w:jc w:val="both"/>
        <w:rPr>
          <w:rFonts w:cs="Arial"/>
          <w:sz w:val="28"/>
          <w:szCs w:val="24"/>
          <w:lang w:val="bg-BG"/>
        </w:rPr>
      </w:pPr>
      <w:r>
        <w:rPr>
          <w:rFonts w:cs="Arial"/>
          <w:sz w:val="28"/>
          <w:szCs w:val="24"/>
          <w:lang w:val="bg-BG"/>
        </w:rPr>
        <w:t>2.1.1 Роли, отговорности и правомощия в организацията</w:t>
      </w:r>
    </w:p>
    <w:p>
      <w:pPr>
        <w:pStyle w:val="Normal"/>
        <w:jc w:val="both"/>
        <w:rPr>
          <w:rFonts w:cs="Arial"/>
          <w:sz w:val="28"/>
          <w:szCs w:val="24"/>
          <w:lang w:val="bg-BG"/>
        </w:rPr>
      </w:pPr>
      <w:r>
        <w:rPr>
          <w:rFonts w:cs="Arial"/>
          <w:sz w:val="28"/>
          <w:szCs w:val="24"/>
          <w:lang w:val="bg-BG"/>
        </w:rPr>
      </w:r>
    </w:p>
    <w:p>
      <w:pPr>
        <w:pStyle w:val="Normal"/>
        <w:jc w:val="both"/>
        <w:rPr/>
      </w:pPr>
      <w:r>
        <w:rPr>
          <w:b w:val="false"/>
          <w:sz w:val="22"/>
          <w:szCs w:val="22"/>
          <w:lang w:val="bg-BG"/>
        </w:rPr>
        <w:t xml:space="preserve">Висшето ръководство на </w:t>
      </w:r>
      <w:r>
        <w:rPr>
          <w:rFonts w:cs="Arial"/>
          <w:b w:val="false"/>
          <w:sz w:val="22"/>
          <w:szCs w:val="24"/>
          <w:lang w:val="bg-BG"/>
        </w:rPr>
        <w:t xml:space="preserve">СМП ПЛЕВЕН ЕООД </w:t>
      </w:r>
      <w:r>
        <w:rPr>
          <w:b w:val="false"/>
          <w:sz w:val="22"/>
          <w:szCs w:val="22"/>
          <w:lang w:val="bg-BG"/>
        </w:rPr>
        <w:t>декларира, че отговорностите и правомощията за съответните роли в системата за управление на ЗБР са възложени и съобщени на всички нива в организацията и са поддържани като документирана информация. Работниците на всички нива в организацията поемат отговорност за тези аспекти на системата за управление, които те управляват.</w:t>
      </w:r>
    </w:p>
    <w:p>
      <w:pPr>
        <w:pStyle w:val="Normal"/>
        <w:jc w:val="both"/>
        <w:rPr>
          <w:b w:val="false"/>
          <w:sz w:val="22"/>
          <w:szCs w:val="22"/>
          <w:lang w:val="bg-BG"/>
        </w:rPr>
      </w:pPr>
      <w:r>
        <w:rPr>
          <w:b w:val="false"/>
          <w:sz w:val="22"/>
          <w:szCs w:val="22"/>
          <w:lang w:val="bg-BG"/>
        </w:rPr>
        <w:t xml:space="preserve"> </w:t>
      </w:r>
    </w:p>
    <w:p>
      <w:pPr>
        <w:pStyle w:val="Normal"/>
        <w:jc w:val="both"/>
        <w:rPr>
          <w:b w:val="false"/>
          <w:sz w:val="22"/>
          <w:szCs w:val="22"/>
          <w:lang w:val="bg-BG"/>
        </w:rPr>
      </w:pPr>
      <w:r>
        <w:rPr>
          <w:b w:val="false"/>
          <w:sz w:val="22"/>
          <w:szCs w:val="22"/>
          <w:lang w:val="bg-BG"/>
        </w:rPr>
      </w:r>
    </w:p>
    <w:p>
      <w:pPr>
        <w:pStyle w:val="Normal"/>
        <w:jc w:val="both"/>
        <w:rPr>
          <w:rFonts w:cs="Arial"/>
          <w:sz w:val="28"/>
          <w:szCs w:val="24"/>
          <w:lang w:val="bg-BG"/>
        </w:rPr>
      </w:pPr>
      <w:r>
        <w:rPr>
          <w:rFonts w:cs="Arial"/>
          <w:sz w:val="28"/>
          <w:szCs w:val="24"/>
          <w:lang w:val="bg-BG"/>
        </w:rPr>
        <w:t>2.1.2  Консултиране и участие на работниците</w:t>
      </w:r>
    </w:p>
    <w:p>
      <w:pPr>
        <w:pStyle w:val="Normal"/>
        <w:jc w:val="both"/>
        <w:rPr/>
      </w:pPr>
      <w:r>
        <w:rPr>
          <w:rFonts w:cs="Arial"/>
          <w:b w:val="false"/>
          <w:sz w:val="22"/>
          <w:szCs w:val="22"/>
          <w:lang w:val="bg-BG"/>
        </w:rPr>
        <w:t>Организацията е създала, внедрила и поддържа процеси за консултиране и участие на работниците на всички приложими нива и функции и на представители на работниците, при разработването, планирането, внедряването, оценяването на</w:t>
      </w:r>
      <w:r>
        <w:rPr>
          <w:rFonts w:cs="Arial"/>
          <w:b w:val="false"/>
          <w:color w:val="FF0000"/>
          <w:sz w:val="22"/>
          <w:szCs w:val="22"/>
          <w:lang w:val="bg-BG"/>
        </w:rPr>
        <w:t xml:space="preserve"> </w:t>
      </w:r>
      <w:r>
        <w:rPr>
          <w:rFonts w:cs="Arial"/>
          <w:b w:val="false"/>
          <w:sz w:val="22"/>
          <w:szCs w:val="22"/>
          <w:lang w:val="bg-BG"/>
        </w:rPr>
        <w:t xml:space="preserve">резултатността и действията за подобряване на системата за управление на </w:t>
      </w:r>
      <w:r>
        <w:rPr>
          <w:b w:val="false"/>
          <w:sz w:val="22"/>
          <w:szCs w:val="22"/>
          <w:lang w:val="bg-BG"/>
        </w:rPr>
        <w:t>ЗБР</w:t>
      </w:r>
      <w:r>
        <w:rPr>
          <w:rFonts w:cs="Arial"/>
          <w:b w:val="false"/>
          <w:sz w:val="22"/>
          <w:szCs w:val="22"/>
          <w:lang w:val="bg-BG"/>
        </w:rPr>
        <w:t>.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</w:r>
    </w:p>
    <w:p>
      <w:pPr>
        <w:pStyle w:val="Normal"/>
        <w:jc w:val="both"/>
        <w:rPr/>
      </w:pPr>
      <w:r>
        <w:rPr>
          <w:rFonts w:cs="Arial"/>
          <w:b w:val="false"/>
          <w:sz w:val="22"/>
          <w:szCs w:val="24"/>
          <w:lang w:val="bg-BG"/>
        </w:rPr>
        <w:t xml:space="preserve">СМП ПЛЕВЕН ЕООД </w:t>
      </w:r>
      <w:r>
        <w:rPr>
          <w:b w:val="false"/>
          <w:sz w:val="22"/>
          <w:szCs w:val="22"/>
          <w:lang w:val="bg-BG"/>
        </w:rPr>
        <w:t xml:space="preserve">е определила </w:t>
      </w:r>
      <w:r>
        <w:rPr>
          <w:rFonts w:cs="Arial"/>
          <w:b w:val="false"/>
          <w:sz w:val="22"/>
          <w:szCs w:val="22"/>
          <w:lang w:val="bg-BG"/>
        </w:rPr>
        <w:t>акцентира върху консултирането на работници на неръководни длъжности при:</w:t>
      </w:r>
    </w:p>
    <w:p>
      <w:pPr>
        <w:pStyle w:val="Normal"/>
        <w:jc w:val="both"/>
        <w:rPr/>
      </w:pPr>
      <w:r>
        <w:rPr>
          <w:rFonts w:cs="Arial"/>
          <w:b w:val="false"/>
          <w:sz w:val="22"/>
          <w:szCs w:val="22"/>
          <w:lang w:val="bg-BG"/>
        </w:rPr>
        <w:t xml:space="preserve"> </w:t>
      </w:r>
      <w:r>
        <w:rPr>
          <w:rFonts w:cs="Arial"/>
          <w:b w:val="false"/>
          <w:sz w:val="22"/>
          <w:szCs w:val="22"/>
          <w:lang w:val="bg-BG"/>
        </w:rPr>
        <w:t xml:space="preserve">- осигуряване на  своевременен достъп до ясна, разбираема и съществена информация за системата за управление </w:t>
      </w:r>
      <w:r>
        <w:rPr>
          <w:b w:val="false"/>
          <w:sz w:val="22"/>
          <w:szCs w:val="22"/>
          <w:lang w:val="bg-BG"/>
        </w:rPr>
        <w:t>ЗБР</w:t>
      </w:r>
      <w:r>
        <w:rPr>
          <w:rFonts w:cs="Arial"/>
          <w:b w:val="false"/>
          <w:sz w:val="22"/>
          <w:szCs w:val="22"/>
          <w:lang w:val="bg-BG"/>
        </w:rPr>
        <w:t>.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 xml:space="preserve"> </w:t>
      </w:r>
      <w:r>
        <w:rPr>
          <w:rFonts w:cs="Arial"/>
          <w:b w:val="false"/>
          <w:sz w:val="22"/>
          <w:szCs w:val="22"/>
          <w:lang w:val="bg-BG"/>
        </w:rPr>
        <w:t xml:space="preserve">-  определяне на потребностите и очакванията на заинтересованите страни. </w:t>
      </w:r>
    </w:p>
    <w:p>
      <w:pPr>
        <w:pStyle w:val="Normal"/>
        <w:jc w:val="both"/>
        <w:rPr/>
      </w:pPr>
      <w:r>
        <w:rPr>
          <w:rFonts w:cs="Arial"/>
          <w:b w:val="false"/>
          <w:sz w:val="22"/>
          <w:szCs w:val="22"/>
          <w:lang w:val="bg-BG"/>
        </w:rPr>
        <w:t xml:space="preserve"> </w:t>
      </w:r>
      <w:r>
        <w:rPr>
          <w:rFonts w:cs="Arial"/>
          <w:b w:val="false"/>
          <w:sz w:val="22"/>
          <w:szCs w:val="22"/>
          <w:lang w:val="bg-BG"/>
        </w:rPr>
        <w:t xml:space="preserve">-  установяване на политиката на </w:t>
      </w:r>
      <w:r>
        <w:rPr>
          <w:b w:val="false"/>
          <w:sz w:val="22"/>
          <w:szCs w:val="22"/>
          <w:lang w:val="bg-BG"/>
        </w:rPr>
        <w:t>ЗБР.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 xml:space="preserve">-  идентифициране на опасностите и оценяване на рисковете и възможностите. </w:t>
      </w:r>
    </w:p>
    <w:p>
      <w:pPr>
        <w:pStyle w:val="Normal"/>
        <w:jc w:val="both"/>
        <w:rPr/>
      </w:pPr>
      <w:r>
        <w:rPr>
          <w:rFonts w:cs="Arial"/>
          <w:b w:val="false"/>
          <w:sz w:val="22"/>
          <w:szCs w:val="22"/>
          <w:lang w:val="bg-BG"/>
        </w:rPr>
        <w:t xml:space="preserve"> </w:t>
      </w:r>
      <w:r>
        <w:rPr>
          <w:rFonts w:cs="Arial"/>
          <w:b w:val="false"/>
          <w:sz w:val="22"/>
          <w:szCs w:val="22"/>
          <w:lang w:val="bg-BG"/>
        </w:rPr>
        <w:t xml:space="preserve">- определяне на действия за елиминиране на опасностите и намаляване на рисковете за </w:t>
      </w:r>
      <w:r>
        <w:rPr>
          <w:b w:val="false"/>
          <w:sz w:val="22"/>
          <w:szCs w:val="22"/>
          <w:lang w:val="bg-BG"/>
        </w:rPr>
        <w:t>ЗБР.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  <w:t xml:space="preserve">- разследване на инциденти и несъответствия и определяне на коригиращи действия. </w:t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</w:r>
    </w:p>
    <w:p>
      <w:pPr>
        <w:pStyle w:val="Normal"/>
        <w:jc w:val="both"/>
        <w:rPr>
          <w:rFonts w:cs="Arial"/>
          <w:b w:val="false"/>
          <w:sz w:val="22"/>
          <w:szCs w:val="22"/>
          <w:lang w:val="bg-BG"/>
        </w:rPr>
      </w:pPr>
      <w:r>
        <w:rPr>
          <w:rFonts w:cs="Arial"/>
          <w:b w:val="false"/>
          <w:sz w:val="22"/>
          <w:szCs w:val="22"/>
          <w:lang w:val="bg-BG"/>
        </w:rPr>
      </w:r>
    </w:p>
    <w:p>
      <w:pPr>
        <w:pStyle w:val="Normal"/>
        <w:jc w:val="both"/>
        <w:rPr>
          <w:rFonts w:cs="Arial"/>
          <w:sz w:val="28"/>
          <w:szCs w:val="24"/>
          <w:lang w:val="bg-BG"/>
        </w:rPr>
      </w:pPr>
      <w:r>
        <w:rPr>
          <w:rFonts w:cs="Arial"/>
          <w:sz w:val="28"/>
          <w:szCs w:val="24"/>
          <w:lang w:val="bg-BG"/>
        </w:rPr>
        <w:t>2.2. Насоченост към клиента</w:t>
      </w:r>
    </w:p>
    <w:p>
      <w:pPr>
        <w:pStyle w:val="Normal"/>
        <w:jc w:val="both"/>
        <w:rPr>
          <w:rFonts w:cs="Arial"/>
          <w:sz w:val="28"/>
          <w:szCs w:val="24"/>
          <w:lang w:val="bg-BG"/>
        </w:rPr>
      </w:pPr>
      <w:r>
        <w:rPr>
          <w:rFonts w:cs="Arial"/>
          <w:sz w:val="28"/>
          <w:szCs w:val="24"/>
          <w:lang w:val="bg-BG"/>
        </w:rPr>
      </w:r>
    </w:p>
    <w:p>
      <w:pPr>
        <w:pStyle w:val="Kapber81"/>
        <w:ind w:firstLine="708" w:end="0"/>
        <w:jc w:val="both"/>
        <w:rPr>
          <w:rFonts w:cs="Arial"/>
          <w:sz w:val="24"/>
          <w:lang w:val="bg-BG"/>
        </w:rPr>
      </w:pPr>
      <w:r>
        <w:rPr>
          <w:rFonts w:cs="Arial"/>
          <w:b w:val="false"/>
          <w:sz w:val="22"/>
          <w:szCs w:val="24"/>
          <w:lang w:val="bg-BG"/>
        </w:rPr>
        <w:t xml:space="preserve">В основата на работните процеси в СМП ПЛЕВЕН ЕООД на първо място са поставени изискванията и очакванията на клиентите на дружеството. Главната ни цел е да разберем настоящите и бъдещи потребности на нашите клиенти, да изпълним техните изисквания в съответствие с изискванията на приложимите нормативни актове и непрекъснато да подобряваме здравето и безопасността при работа за предлаганите продукти и услуги. Ръководството на дружеството взема под внимание рисковете и възможностите за подобряване, влияещи върху удовлетвореността на клиента и съответствието на продуктите на фирмата. </w:t>
      </w:r>
      <w:r>
        <w:rPr>
          <w:rFonts w:cs="Arial"/>
          <w:b w:val="false"/>
          <w:bCs/>
          <w:sz w:val="22"/>
          <w:szCs w:val="24"/>
          <w:lang w:val="bg-BG"/>
        </w:rPr>
        <w:t>Основните принципи за действие</w:t>
      </w:r>
      <w:r>
        <w:rPr>
          <w:rFonts w:cs="Arial"/>
          <w:b w:val="false"/>
          <w:sz w:val="22"/>
          <w:szCs w:val="24"/>
          <w:lang w:val="bg-BG"/>
        </w:rPr>
        <w:t xml:space="preserve"> на организацията за целите повишаване на удовлетвореността на клиентите са залегнали в „Политика по ЗБР“.</w:t>
      </w:r>
    </w:p>
    <w:p>
      <w:pPr>
        <w:pStyle w:val="Kapber81"/>
        <w:jc w:val="both"/>
        <w:rPr>
          <w:rFonts w:cs="Arial"/>
          <w:sz w:val="28"/>
          <w:lang w:val="bg-BG"/>
        </w:rPr>
      </w:pPr>
      <w:r>
        <w:rPr>
          <w:rFonts w:cs="Arial"/>
          <w:sz w:val="28"/>
          <w:lang w:val="bg-BG"/>
        </w:rPr>
      </w:r>
    </w:p>
    <w:p>
      <w:pPr>
        <w:pStyle w:val="Heading2"/>
        <w:tabs>
          <w:tab w:val="clear" w:pos="1134"/>
        </w:tabs>
        <w:ind w:hanging="0" w:start="0"/>
        <w:jc w:val="both"/>
        <w:rPr>
          <w:lang w:val="bg-BG"/>
        </w:rPr>
      </w:pPr>
      <w:r>
        <w:rPr>
          <w:lang w:val="bg-BG"/>
        </w:rPr>
        <w:t xml:space="preserve">2.3 </w:t>
        <w:tab/>
        <w:t>Политика на предприятието</w:t>
      </w:r>
    </w:p>
    <w:p>
      <w:pPr>
        <w:pStyle w:val="BodyTextIndent2"/>
        <w:ind w:firstLine="708" w:end="0"/>
        <w:rPr>
          <w:lang w:val="bg-BG"/>
        </w:rPr>
      </w:pPr>
      <w:r>
        <w:rPr>
          <w:lang w:val="bg-BG"/>
        </w:rPr>
      </w:r>
    </w:p>
    <w:p>
      <w:pPr>
        <w:pStyle w:val="BodyTextIndent2"/>
        <w:ind w:firstLine="708" w:end="0"/>
        <w:rPr/>
      </w:pPr>
      <w:r>
        <w:rPr>
          <w:lang w:val="bg-BG"/>
        </w:rPr>
        <w:t xml:space="preserve">Висшето ръководство на предприятието поема задължението, че фирмата ще осъществи и изпълни общоважащите ръководни принципи и поставените цели за политиката по ЗБР.  </w:t>
      </w:r>
    </w:p>
    <w:p>
      <w:pPr>
        <w:pStyle w:val="BodyTextIndent2"/>
        <w:ind w:firstLine="360" w:end="0"/>
        <w:rPr>
          <w:lang w:val="bg-BG"/>
        </w:rPr>
      </w:pPr>
      <w:r>
        <w:rPr>
          <w:lang w:val="bg-BG"/>
        </w:rPr>
        <w:t>Своята ангажираност ръководството проявява като:</w:t>
      </w:r>
    </w:p>
    <w:p>
      <w:pPr>
        <w:pStyle w:val="BodyTextIndent2"/>
        <w:numPr>
          <w:ilvl w:val="0"/>
          <w:numId w:val="4"/>
        </w:numPr>
        <w:rPr>
          <w:lang w:val="bg-BG"/>
        </w:rPr>
      </w:pPr>
      <w:r>
        <w:rPr>
          <w:lang w:val="bg-BG"/>
        </w:rPr>
        <w:t>създава фирмената стратегия по отношение на политиката по ЗБР и дефинира целите по ЗБР;</w:t>
      </w:r>
    </w:p>
    <w:p>
      <w:pPr>
        <w:pStyle w:val="BodyTextIndent2"/>
        <w:numPr>
          <w:ilvl w:val="0"/>
          <w:numId w:val="4"/>
        </w:numPr>
        <w:rPr>
          <w:lang w:val="bg-BG"/>
        </w:rPr>
      </w:pPr>
      <w:r>
        <w:rPr>
          <w:lang w:val="bg-BG"/>
        </w:rPr>
        <w:t>определя годишните цели по ЗБР и конкретното им формулиране;</w:t>
      </w:r>
    </w:p>
    <w:p>
      <w:pPr>
        <w:pStyle w:val="BodyTextIndent2"/>
        <w:numPr>
          <w:ilvl w:val="0"/>
          <w:numId w:val="4"/>
        </w:numPr>
        <w:rPr>
          <w:lang w:val="bg-BG"/>
        </w:rPr>
      </w:pPr>
      <w:r>
        <w:rPr>
          <w:lang w:val="bg-BG"/>
        </w:rPr>
        <w:t>извършва планирани, периодични прегледи на системата за управление за удостоверяване ефективността на функционирането и определяне необходимостта от актуализиране или изменения;</w:t>
      </w:r>
    </w:p>
    <w:p>
      <w:pPr>
        <w:pStyle w:val="BodyTextIndent2"/>
        <w:numPr>
          <w:ilvl w:val="0"/>
          <w:numId w:val="4"/>
        </w:numPr>
        <w:rPr>
          <w:lang w:val="bg-BG"/>
        </w:rPr>
      </w:pPr>
      <w:r>
        <w:rPr>
          <w:lang w:val="bg-BG"/>
        </w:rPr>
        <w:t>осигурява необходимите материални, човешки и финансови ресурси, инфраструктура и работна среда за постигане съответствие с изискванията на стандарта БДС EN ISO 45001:2023;</w:t>
      </w:r>
    </w:p>
    <w:p>
      <w:pPr>
        <w:pStyle w:val="BodyTextIndent2"/>
        <w:numPr>
          <w:ilvl w:val="0"/>
          <w:numId w:val="4"/>
        </w:numPr>
        <w:rPr>
          <w:lang w:val="bg-BG"/>
        </w:rPr>
      </w:pPr>
      <w:r>
        <w:rPr>
          <w:lang w:val="bg-BG"/>
        </w:rPr>
        <w:t>поддържа и повишава професионализма и квалификацията на персонала като организира участието му в различни обучения, курсове и семинари;</w:t>
      </w:r>
    </w:p>
    <w:p>
      <w:pPr>
        <w:pStyle w:val="BodyTextIndent2"/>
        <w:numPr>
          <w:ilvl w:val="0"/>
          <w:numId w:val="4"/>
        </w:numPr>
        <w:rPr>
          <w:lang w:val="bg-BG"/>
        </w:rPr>
      </w:pPr>
      <w:r>
        <w:rPr>
          <w:lang w:val="bg-BG"/>
        </w:rPr>
        <w:t>гарантира на своите служители адекватно заплащане за постигнатите резултати, пенсионно и здравно осигуряване, създава добър микроклимат във фирмата;</w:t>
      </w:r>
    </w:p>
    <w:p>
      <w:pPr>
        <w:pStyle w:val="BodyTextIndent2"/>
        <w:ind w:start="1068" w:end="0"/>
        <w:rPr>
          <w:lang w:val="bg-BG"/>
        </w:rPr>
      </w:pPr>
      <w:r>
        <w:rPr>
          <w:lang w:val="bg-BG"/>
        </w:rPr>
      </w:r>
    </w:p>
    <w:p>
      <w:pPr>
        <w:pStyle w:val="Normal"/>
        <w:jc w:val="both"/>
        <w:rPr>
          <w:rFonts w:cs="Arial"/>
          <w:bCs/>
          <w:sz w:val="22"/>
          <w:szCs w:val="22"/>
          <w:lang w:val="bg-BG"/>
        </w:rPr>
      </w:pPr>
      <w:r>
        <w:rPr>
          <w:rFonts w:cs="Arial"/>
          <w:bCs/>
          <w:sz w:val="22"/>
          <w:szCs w:val="22"/>
          <w:lang w:val="bg-BG"/>
        </w:rPr>
        <w:t xml:space="preserve">Политика ЗБР </w:t>
      </w:r>
    </w:p>
    <w:p>
      <w:pPr>
        <w:pStyle w:val="Normal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>Политиката по ЗБР се установява, за да се дадат насоки за управление на фирмата. Тя определя предполагаемите резултати и помага на фирмата да приложи всички свои ресурси за постигане на тези резултати.</w:t>
      </w:r>
    </w:p>
    <w:p>
      <w:pPr>
        <w:pStyle w:val="Normal"/>
        <w:ind w:firstLine="708" w:end="0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  <w:t xml:space="preserve">Политиката по ЗБР на СМП ПЛЕВЕН ЕООД е разработена на основата на принципите за управление, дефинирани </w:t>
      </w:r>
      <w:r>
        <w:rPr>
          <w:rFonts w:cs="Arial"/>
          <w:b w:val="false"/>
          <w:sz w:val="22"/>
          <w:szCs w:val="24"/>
          <w:lang w:val="en-US"/>
        </w:rPr>
        <w:t>БДС EN ISO 45001:20</w:t>
      </w:r>
      <w:r>
        <w:rPr>
          <w:rFonts w:cs="Arial"/>
          <w:b w:val="false"/>
          <w:sz w:val="22"/>
          <w:szCs w:val="24"/>
          <w:lang w:val="bg-BG"/>
        </w:rPr>
        <w:t xml:space="preserve">23 </w:t>
      </w:r>
      <w:r>
        <w:rPr>
          <w:b w:val="false"/>
          <w:bCs/>
          <w:sz w:val="22"/>
          <w:lang w:val="bg-BG"/>
        </w:rPr>
        <w:t>и отразява взаимодействието между всички страни, свързани с постигане на желаните резултати по отношение здравето и безопасността при работа.</w:t>
      </w:r>
    </w:p>
    <w:p>
      <w:pPr>
        <w:pStyle w:val="Normal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>Политиката ЗБР се ревизира и оценява периодично, за да се гарантира нейната адекватност и съответствие с целите на дружеството.</w:t>
      </w:r>
    </w:p>
    <w:p>
      <w:pPr>
        <w:pStyle w:val="BodyTextIndent"/>
        <w:ind w:firstLine="708" w:start="0" w:end="0"/>
        <w:jc w:val="both"/>
        <w:rPr/>
      </w:pPr>
      <w:r>
        <w:rPr>
          <w:b w:val="false"/>
          <w:bCs/>
          <w:sz w:val="22"/>
          <w:lang w:val="bg-BG"/>
        </w:rPr>
        <w:t>От особена важност за управленския екип е крайният продукт и предлаганата услуга, да бъде с високо и постоянно качество, което се превръща в основна политика на фирмата. Предлагането на висококачествени продукти и услуги, отговарящи на европейските стандарти, екологични изисквания и здравето и безопасността при работа са от приоритетно значение, както и внедряването на нови технологии и продукти. Ръководството на СМП ПЛЕВЕН ЕООД има за цел да създаде трайни позиции на пазара с постоянно развиваща се база и човешки ресурси. Ръководството осъществява непрекъснат контрол върху всички процеси, с оглед постигането на поставените цели.</w:t>
      </w:r>
    </w:p>
    <w:p>
      <w:pPr>
        <w:pStyle w:val="Normal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>В близък план, целите на СМП ПЛЕВЕН ЕООД са увеличаване на обема продажби и броя постоянни клиенти.</w:t>
      </w:r>
    </w:p>
    <w:p>
      <w:pPr>
        <w:pStyle w:val="Normal"/>
        <w:ind w:firstLine="708" w:end="0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  <w:t>Постигането на нашите цели за растеж, рентабилност и качество ще създаде необходимата обстановка и нужните икономически средства за задоволяване на интересите и потребностите на нашия персонал, клиентите и на всички, свързани с фирмата.</w:t>
      </w:r>
    </w:p>
    <w:p>
      <w:pPr>
        <w:pStyle w:val="Normal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>Ръководството на СМП ПЛЕВЕН ЕООД гарантира, че изложените по-горе принципи и цели са известни на всички сътрудници, че те разбират техния смисъл и значение, и че се стремят да изпълняват поставените им задачи в съответствие с тези принципи.</w:t>
      </w:r>
    </w:p>
    <w:p>
      <w:pPr>
        <w:pStyle w:val="Normal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 xml:space="preserve">Във сертифицирането на фирмата по стандарта </w:t>
      </w:r>
      <w:r>
        <w:rPr>
          <w:rFonts w:cs="Arial"/>
          <w:b w:val="false"/>
          <w:sz w:val="22"/>
          <w:szCs w:val="24"/>
          <w:lang w:val="en-US"/>
        </w:rPr>
        <w:t>БДС EN ISO 45001:20</w:t>
      </w:r>
      <w:r>
        <w:rPr>
          <w:rFonts w:cs="Arial"/>
          <w:b w:val="false"/>
          <w:sz w:val="22"/>
          <w:szCs w:val="24"/>
          <w:lang w:val="bg-BG"/>
        </w:rPr>
        <w:t>23</w:t>
      </w:r>
      <w:r>
        <w:rPr>
          <w:b w:val="false"/>
          <w:bCs/>
          <w:sz w:val="22"/>
          <w:lang w:val="bg-BG"/>
        </w:rPr>
        <w:t>, ръководството на фирмата вижда като възможност за внедряване на действена интегрирана система за управление и най-пряк път за постигане на целите.</w:t>
      </w:r>
    </w:p>
    <w:p>
      <w:pPr>
        <w:pStyle w:val="Normal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>Като най-важен фактор, чрез който могат да бъдат реализирани целите на фирмата, ръководството счита човешкия ресурс – работници, служители и ръководители. От тяхната квалификация, мотивация и отговорност, съчетани с добра организация и взаимодействие, зависи крайния резултат – доставения на клиента продукт, покриващ всички параметри и стандарти, заложени в изискванията. Квалификацията е елемент, който изисква поддържане чрез постоянно повишаване – запознаване с новостите на пазара и технологии, проучване за интереса на клиента и др.</w:t>
      </w:r>
    </w:p>
    <w:p>
      <w:pPr>
        <w:pStyle w:val="Normal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>Във фокуса на фирма СМП ПЛЕВЕН ЕООД е клиентът, чието доверие е спечелено чрез пълна отговорност при изпълнение на приетите изисквания при реализацията на всички договорености.</w:t>
      </w:r>
    </w:p>
    <w:p>
      <w:pPr>
        <w:pStyle w:val="BodyTextIndent2"/>
        <w:rPr>
          <w:b/>
          <w:bCs/>
          <w:sz w:val="22"/>
          <w:lang w:val="bg-BG"/>
        </w:rPr>
      </w:pPr>
      <w:r>
        <w:rPr>
          <w:b/>
          <w:bCs/>
          <w:sz w:val="22"/>
          <w:lang w:val="bg-BG"/>
        </w:rPr>
      </w:r>
    </w:p>
    <w:p>
      <w:pPr>
        <w:pStyle w:val="Kapber81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Heading2"/>
        <w:ind w:hanging="0" w:start="0"/>
        <w:rPr>
          <w:lang w:val="bg-BG"/>
        </w:rPr>
      </w:pPr>
      <w:r>
        <w:rPr>
          <w:lang w:val="bg-BG"/>
        </w:rPr>
        <w:t>2.4</w:t>
        <w:tab/>
        <w:t>Планиране</w:t>
      </w:r>
    </w:p>
    <w:p>
      <w:pPr>
        <w:pStyle w:val="Normal"/>
        <w:jc w:val="both"/>
        <w:rPr>
          <w:bCs/>
          <w:sz w:val="22"/>
          <w:lang w:val="bg-BG"/>
        </w:rPr>
      </w:pPr>
      <w:r>
        <w:rPr>
          <w:bCs/>
          <w:sz w:val="22"/>
          <w:lang w:val="bg-BG"/>
        </w:rPr>
      </w:r>
    </w:p>
    <w:p>
      <w:pPr>
        <w:pStyle w:val="Normal"/>
        <w:jc w:val="both"/>
        <w:rPr>
          <w:bCs/>
          <w:sz w:val="22"/>
          <w:lang w:val="bg-BG"/>
        </w:rPr>
      </w:pPr>
      <w:r>
        <w:rPr>
          <w:bCs/>
          <w:sz w:val="22"/>
          <w:lang w:val="bg-BG"/>
        </w:rPr>
        <w:t xml:space="preserve">2.4.1 Цели по ЗБР </w:t>
      </w:r>
    </w:p>
    <w:p>
      <w:pPr>
        <w:pStyle w:val="Normal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>Целите по здравословната и безопасна работа са измерими, базирани са на политиката по ЗБР, включваща установяването на ясно регламентирани и обосновани правила, които се възприемат и разбират от целия персонал на СМП ПЛЕВЕН ЕООД . Това гарантира стриктното им изпълнение, при възможност за периодично преразглеждане и оценяване, с оглед обсъждането и решаването на текущо възникващи проблеми.</w:t>
      </w:r>
    </w:p>
    <w:p>
      <w:pPr>
        <w:pStyle w:val="Normal"/>
        <w:ind w:firstLine="708" w:end="0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  <w:t xml:space="preserve">За по-ефективното управление на дейностите и ресурсите, необходими за постигане на даден резултат, ръководството е възприело процесно-ориентиран подход на управление. </w:t>
      </w:r>
    </w:p>
    <w:p>
      <w:pPr>
        <w:pStyle w:val="Normal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>В началото на всяка календарна година, ръководството залага целите по ЗБР, които са необходими за изпълнение на политиката по ЗБР, като взема предвид факторите, заложени в стандартите. За изпълнение на целите се разработва програма за изпълнение, включваща детайлни срокове, отговорници, нужните ресурси за реализацията и оценка на изпълнението.</w:t>
      </w:r>
    </w:p>
    <w:p>
      <w:pPr>
        <w:pStyle w:val="Normal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Normal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Normal"/>
        <w:jc w:val="both"/>
        <w:rPr/>
      </w:pPr>
      <w:r>
        <w:rPr>
          <w:bCs/>
          <w:sz w:val="22"/>
          <w:lang w:val="bg-BG"/>
        </w:rPr>
        <w:t xml:space="preserve">2.4.2 Планиране на системата за управление </w:t>
      </w:r>
    </w:p>
    <w:p>
      <w:pPr>
        <w:pStyle w:val="Normal"/>
        <w:tabs>
          <w:tab w:val="clear" w:pos="708"/>
          <w:tab w:val="left" w:pos="900" w:leader="none"/>
        </w:tabs>
        <w:ind w:firstLine="708" w:end="0"/>
        <w:jc w:val="both"/>
        <w:rPr/>
      </w:pPr>
      <w:r>
        <w:rPr>
          <w:b w:val="false"/>
          <w:bCs/>
          <w:sz w:val="22"/>
          <w:lang w:val="bg-BG"/>
        </w:rPr>
        <w:t xml:space="preserve">В своята дейност СМП ПЛЕВЕН ЕООД </w:t>
      </w:r>
      <w:r>
        <w:rPr>
          <w:lang w:val="bg-BG"/>
        </w:rPr>
        <w:t xml:space="preserve"> </w:t>
      </w:r>
      <w:r>
        <w:rPr>
          <w:b w:val="false"/>
          <w:bCs/>
          <w:sz w:val="22"/>
          <w:lang w:val="bg-BG"/>
        </w:rPr>
        <w:t>се ръководи от изключителното значение, което има удовлетвореността на клиентите за развитието и просперитета на фирмата. Ето защо фирмената политика е изцяло ориентирана към клиента, като се цели пълното задоволяване на неговите желания и изисквания, посредством осигуряване на високо качество и съответствие на предлаганите услуги и продукти, базирано на процеса по планиране. Той е свързан най-вече с осигуряването на необходимата структура и ресурси за изпълнение на целите по ЗБР, в съответствие с изискванията на системата за управление и с непрекъснатото ѝ подобряване. Ръководството отчита рисковете и възможностите, които се взимат предвид за постигане на подобряване, повишаване на  желаните и предотвратяване на нежеланите последствия. В дейностите по планиране се залагат действия за овладяване на посочените рискове и възможности и се посочва начина на прилагането и последващата им оценка.</w:t>
      </w:r>
    </w:p>
    <w:p>
      <w:pPr>
        <w:pStyle w:val="Normal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>Процесът по планиране на СУ е тясно свързан с осигуряването на адекватно управление на процесите по осъществяване на входящ, текущ и изходящ контрол на дейността, а така също актуализиране и внедряване на промени в системата за управление, без да бъде нарушавана нейната цялост</w:t>
      </w:r>
      <w:r>
        <w:rPr>
          <w:b w:val="false"/>
          <w:bCs/>
          <w:color w:val="FF0000"/>
          <w:sz w:val="22"/>
          <w:lang w:val="bg-BG"/>
        </w:rPr>
        <w:t xml:space="preserve"> </w:t>
      </w:r>
      <w:r>
        <w:rPr>
          <w:b w:val="false"/>
          <w:bCs/>
          <w:sz w:val="22"/>
          <w:lang w:val="bg-BG"/>
        </w:rPr>
        <w:t>при въвеждането на промени. При планиране на изменения на СУ се взимат предвид целта и последствията от изменението, наличието на ресурси за реализацията му, както и разпределянето на отговорности по отношение на изпълнението.</w:t>
      </w:r>
    </w:p>
    <w:p>
      <w:pPr>
        <w:pStyle w:val="Normal"/>
        <w:ind w:firstLine="708" w:end="0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Normal"/>
        <w:jc w:val="both"/>
        <w:rPr>
          <w:bCs/>
          <w:sz w:val="22"/>
          <w:lang w:val="bg-BG"/>
        </w:rPr>
      </w:pPr>
      <w:r>
        <w:rPr>
          <w:bCs/>
          <w:sz w:val="22"/>
          <w:lang w:val="bg-BG"/>
        </w:rPr>
        <w:t>Дейности по овладяването на рисковете и възможностите</w:t>
      </w:r>
    </w:p>
    <w:p>
      <w:pPr>
        <w:pStyle w:val="Normal"/>
        <w:widowControl/>
        <w:ind w:end="-514"/>
        <w:jc w:val="both"/>
        <w:rPr/>
      </w:pPr>
      <w:r>
        <w:rPr>
          <w:rFonts w:cs="Arial"/>
          <w:b w:val="false"/>
          <w:sz w:val="22"/>
          <w:szCs w:val="22"/>
          <w:lang w:val="bg-BG" w:eastAsia="en-US" w:bidi="ar-SA"/>
        </w:rPr>
        <w:tab/>
        <w:t xml:space="preserve">Рисковете и възможностите за предприятието се идентифицират и преглеждат за съответствие от ПР за СУ съвместно с ръководството в табличен вид минимум веднъж годишно или при промяна в обстоятелствата. Изчисляването на рисковете и възможностите се извършва съгласно белгийската практика, по следната формула: </w:t>
      </w:r>
      <w:r>
        <w:rPr>
          <w:rFonts w:cs="Arial"/>
          <w:bCs/>
          <w:sz w:val="22"/>
          <w:szCs w:val="22"/>
          <w:lang w:val="bg-BG" w:eastAsia="en-US" w:bidi="ar-SA"/>
        </w:rPr>
        <w:t xml:space="preserve">Р = В </w:t>
      </w:r>
      <w:r>
        <w:rPr>
          <w:rFonts w:cs="Arial"/>
          <w:b w:val="false"/>
          <w:bCs/>
          <w:sz w:val="22"/>
          <w:szCs w:val="22"/>
          <w:lang w:val="bg-BG" w:eastAsia="en-US" w:bidi="ar-SA"/>
        </w:rPr>
        <w:t xml:space="preserve">х </w:t>
      </w:r>
      <w:r>
        <w:rPr>
          <w:rFonts w:cs="Arial"/>
          <w:bCs/>
          <w:sz w:val="22"/>
          <w:szCs w:val="22"/>
          <w:lang w:val="bg-BG" w:eastAsia="en-US" w:bidi="ar-SA"/>
        </w:rPr>
        <w:t xml:space="preserve">Е </w:t>
      </w:r>
      <w:r>
        <w:rPr>
          <w:rFonts w:cs="Arial"/>
          <w:b w:val="false"/>
          <w:bCs/>
          <w:sz w:val="22"/>
          <w:szCs w:val="22"/>
          <w:lang w:val="bg-BG" w:eastAsia="en-US" w:bidi="ar-SA"/>
        </w:rPr>
        <w:t xml:space="preserve">х </w:t>
      </w:r>
      <w:r>
        <w:rPr>
          <w:rFonts w:cs="Arial"/>
          <w:bCs/>
          <w:sz w:val="22"/>
          <w:szCs w:val="22"/>
          <w:lang w:val="bg-BG" w:eastAsia="en-US" w:bidi="ar-SA"/>
        </w:rPr>
        <w:t>Т</w:t>
      </w:r>
      <w:r>
        <w:rPr>
          <w:rFonts w:cs="Arial"/>
          <w:b w:val="false"/>
          <w:bCs/>
          <w:sz w:val="22"/>
          <w:szCs w:val="22"/>
          <w:lang w:val="bg-BG" w:eastAsia="en-US" w:bidi="ar-SA"/>
        </w:rPr>
        <w:t>, к</w:t>
      </w:r>
      <w:r>
        <w:rPr>
          <w:rFonts w:cs="Arial"/>
          <w:b w:val="false"/>
          <w:sz w:val="22"/>
          <w:szCs w:val="22"/>
          <w:lang w:val="bg-BG" w:eastAsia="en-US" w:bidi="ar-SA"/>
        </w:rPr>
        <w:t xml:space="preserve">ъдето:       </w:t>
        <w:br/>
      </w:r>
      <w:r>
        <w:rPr>
          <w:rFonts w:cs="Arial"/>
          <w:bCs/>
          <w:sz w:val="22"/>
          <w:szCs w:val="22"/>
          <w:lang w:val="bg-BG" w:eastAsia="en-US" w:bidi="ar-SA"/>
        </w:rPr>
        <w:t xml:space="preserve">Р </w:t>
      </w:r>
      <w:r>
        <w:rPr>
          <w:rFonts w:cs="Arial"/>
          <w:b w:val="false"/>
          <w:sz w:val="22"/>
          <w:szCs w:val="22"/>
          <w:lang w:val="bg-BG" w:eastAsia="en-US" w:bidi="ar-SA"/>
        </w:rPr>
        <w:t>– риск/възможност,</w:t>
      </w:r>
    </w:p>
    <w:p>
      <w:pPr>
        <w:pStyle w:val="Normal"/>
        <w:widowControl/>
        <w:ind w:end="-514"/>
        <w:jc w:val="both"/>
        <w:rPr/>
      </w:pPr>
      <w:r>
        <w:rPr>
          <w:rFonts w:cs="Arial"/>
          <w:sz w:val="22"/>
          <w:szCs w:val="22"/>
          <w:lang w:val="bg-BG" w:eastAsia="en-US" w:bidi="ar-SA"/>
        </w:rPr>
        <w:t xml:space="preserve">В </w:t>
      </w:r>
      <w:r>
        <w:rPr>
          <w:rFonts w:cs="Arial"/>
          <w:b w:val="false"/>
          <w:sz w:val="22"/>
          <w:szCs w:val="22"/>
          <w:lang w:val="bg-BG" w:eastAsia="en-US" w:bidi="ar-SA"/>
        </w:rPr>
        <w:t xml:space="preserve">– вероятност, </w:t>
      </w:r>
    </w:p>
    <w:p>
      <w:pPr>
        <w:pStyle w:val="Normal"/>
        <w:widowControl/>
        <w:ind w:end="-514"/>
        <w:jc w:val="both"/>
        <w:rPr/>
      </w:pPr>
      <w:r>
        <w:rPr>
          <w:rFonts w:cs="Arial"/>
          <w:sz w:val="22"/>
          <w:szCs w:val="22"/>
          <w:lang w:val="bg-BG" w:eastAsia="en-US" w:bidi="ar-SA"/>
        </w:rPr>
        <w:t xml:space="preserve">E </w:t>
      </w:r>
      <w:r>
        <w:rPr>
          <w:rFonts w:cs="Arial"/>
          <w:b w:val="false"/>
          <w:sz w:val="22"/>
          <w:szCs w:val="22"/>
          <w:lang w:val="bg-BG" w:eastAsia="en-US" w:bidi="ar-SA"/>
        </w:rPr>
        <w:t xml:space="preserve">- честота на излагане/експозиция/, </w:t>
      </w:r>
    </w:p>
    <w:p>
      <w:pPr>
        <w:pStyle w:val="Normal"/>
        <w:widowControl/>
        <w:ind w:end="-514"/>
        <w:jc w:val="both"/>
        <w:rPr/>
      </w:pPr>
      <w:r>
        <w:rPr>
          <w:rFonts w:cs="Arial"/>
          <w:sz w:val="22"/>
          <w:szCs w:val="22"/>
          <w:lang w:val="bg-BG" w:eastAsia="en-US" w:bidi="ar-SA"/>
        </w:rPr>
        <w:t xml:space="preserve">Т </w:t>
      </w:r>
      <w:r>
        <w:rPr>
          <w:rFonts w:cs="Arial"/>
          <w:b w:val="false"/>
          <w:sz w:val="22"/>
          <w:szCs w:val="22"/>
          <w:lang w:val="bg-BG" w:eastAsia="en-US" w:bidi="ar-SA"/>
        </w:rPr>
        <w:t>- последици/тежест на вредата/.</w:t>
      </w:r>
    </w:p>
    <w:p>
      <w:pPr>
        <w:pStyle w:val="Normal"/>
        <w:widowControl/>
        <w:ind w:end="-514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tbl>
      <w:tblPr>
        <w:tblW w:w="85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72"/>
        <w:gridCol w:w="1204"/>
      </w:tblGrid>
      <w:tr>
        <w:trPr>
          <w:cantSplit/>
        </w:trPr>
        <w:tc>
          <w:tcPr>
            <w:tcW w:w="85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sz w:val="22"/>
                <w:szCs w:val="22"/>
                <w:lang w:val="bg-BG" w:eastAsia="en-US" w:bidi="ar-SA"/>
              </w:rPr>
              <w:t>Вероятност (В)</w:t>
            </w:r>
          </w:p>
        </w:tc>
      </w:tr>
      <w:tr>
        <w:trPr>
          <w:cantSplit/>
        </w:trPr>
        <w:tc>
          <w:tcPr>
            <w:tcW w:w="7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Едва забележима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0,1</w:t>
            </w:r>
          </w:p>
        </w:tc>
      </w:tr>
      <w:tr>
        <w:trPr>
          <w:cantSplit/>
        </w:trPr>
        <w:tc>
          <w:tcPr>
            <w:tcW w:w="7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Практически невъзможна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0,2</w:t>
            </w:r>
          </w:p>
        </w:tc>
      </w:tr>
      <w:tr>
        <w:trPr>
          <w:cantSplit/>
        </w:trPr>
        <w:tc>
          <w:tcPr>
            <w:tcW w:w="7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Малко възможна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0,5</w:t>
            </w:r>
          </w:p>
        </w:tc>
      </w:tr>
      <w:tr>
        <w:trPr>
          <w:cantSplit/>
        </w:trPr>
        <w:tc>
          <w:tcPr>
            <w:tcW w:w="7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Малко възможна, но възможна в ограничени случай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1,0</w:t>
            </w:r>
          </w:p>
        </w:tc>
      </w:tr>
      <w:tr>
        <w:trPr>
          <w:cantSplit/>
        </w:trPr>
        <w:tc>
          <w:tcPr>
            <w:tcW w:w="7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Ниска вероятност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3,0</w:t>
            </w:r>
          </w:p>
        </w:tc>
      </w:tr>
      <w:tr>
        <w:trPr>
          <w:cantSplit/>
        </w:trPr>
        <w:tc>
          <w:tcPr>
            <w:tcW w:w="7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Напълно възможна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6,0</w:t>
            </w:r>
          </w:p>
        </w:tc>
      </w:tr>
      <w:tr>
        <w:trPr>
          <w:cantSplit/>
        </w:trPr>
        <w:tc>
          <w:tcPr>
            <w:tcW w:w="7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Относително висока вероятност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10,0</w:t>
            </w:r>
          </w:p>
        </w:tc>
      </w:tr>
    </w:tbl>
    <w:p>
      <w:pPr>
        <w:pStyle w:val="Normal"/>
        <w:widowControl/>
        <w:ind w:end="-514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tbl>
      <w:tblPr>
        <w:tblW w:w="85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30"/>
        <w:gridCol w:w="1324"/>
      </w:tblGrid>
      <w:tr>
        <w:trPr>
          <w:cantSplit/>
        </w:trPr>
        <w:tc>
          <w:tcPr>
            <w:tcW w:w="85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sz w:val="22"/>
                <w:szCs w:val="22"/>
                <w:lang w:val="bg-BG" w:eastAsia="en-US" w:bidi="ar-SA"/>
              </w:rPr>
              <w:t>Честота на експозиция (Е)</w:t>
            </w:r>
          </w:p>
        </w:tc>
      </w:tr>
      <w:tr>
        <w:trPr/>
        <w:tc>
          <w:tcPr>
            <w:tcW w:w="7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 xml:space="preserve">Твърде ниска </w:t>
            </w:r>
          </w:p>
        </w:tc>
        <w:tc>
          <w:tcPr>
            <w:tcW w:w="1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0,5</w:t>
            </w:r>
          </w:p>
        </w:tc>
      </w:tr>
      <w:tr>
        <w:trPr/>
        <w:tc>
          <w:tcPr>
            <w:tcW w:w="7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Много ниска</w:t>
            </w:r>
          </w:p>
        </w:tc>
        <w:tc>
          <w:tcPr>
            <w:tcW w:w="1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1,0</w:t>
            </w:r>
          </w:p>
        </w:tc>
      </w:tr>
      <w:tr>
        <w:trPr/>
        <w:tc>
          <w:tcPr>
            <w:tcW w:w="7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 xml:space="preserve">Ниска </w:t>
            </w:r>
          </w:p>
        </w:tc>
        <w:tc>
          <w:tcPr>
            <w:tcW w:w="1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2,0</w:t>
            </w:r>
          </w:p>
        </w:tc>
      </w:tr>
      <w:tr>
        <w:trPr/>
        <w:tc>
          <w:tcPr>
            <w:tcW w:w="7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Средна</w:t>
            </w:r>
          </w:p>
        </w:tc>
        <w:tc>
          <w:tcPr>
            <w:tcW w:w="1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3,0</w:t>
            </w:r>
          </w:p>
        </w:tc>
      </w:tr>
      <w:tr>
        <w:trPr/>
        <w:tc>
          <w:tcPr>
            <w:tcW w:w="7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Достатъчно висока</w:t>
            </w:r>
          </w:p>
        </w:tc>
        <w:tc>
          <w:tcPr>
            <w:tcW w:w="1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6,0</w:t>
            </w:r>
          </w:p>
        </w:tc>
      </w:tr>
      <w:tr>
        <w:trPr/>
        <w:tc>
          <w:tcPr>
            <w:tcW w:w="7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Непрекъснато</w:t>
            </w:r>
          </w:p>
        </w:tc>
        <w:tc>
          <w:tcPr>
            <w:tcW w:w="1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10,0</w:t>
            </w:r>
          </w:p>
        </w:tc>
      </w:tr>
    </w:tbl>
    <w:p>
      <w:pPr>
        <w:pStyle w:val="Normal"/>
        <w:widowControl/>
        <w:ind w:end="-514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tbl>
      <w:tblPr>
        <w:tblW w:w="862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8"/>
        <w:gridCol w:w="2160"/>
        <w:gridCol w:w="3344"/>
        <w:gridCol w:w="2536"/>
      </w:tblGrid>
      <w:tr>
        <w:trPr>
          <w:cantSplit/>
        </w:trPr>
        <w:tc>
          <w:tcPr>
            <w:tcW w:w="862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sz w:val="22"/>
                <w:szCs w:val="22"/>
                <w:lang w:val="bg-BG" w:eastAsia="en-US" w:bidi="ar-SA"/>
              </w:rPr>
              <w:t>Последици (вреди) (П)</w:t>
            </w:r>
          </w:p>
        </w:tc>
      </w:tr>
      <w:tr>
        <w:trPr/>
        <w:tc>
          <w:tcPr>
            <w:tcW w:w="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1,0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Малки</w:t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Без загуби</w:t>
            </w:r>
          </w:p>
        </w:tc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/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Щети &lt; 2000 лв.</w:t>
            </w:r>
          </w:p>
        </w:tc>
      </w:tr>
      <w:tr>
        <w:trPr/>
        <w:tc>
          <w:tcPr>
            <w:tcW w:w="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3,0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Значителни</w:t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Малки загуби</w:t>
            </w:r>
          </w:p>
        </w:tc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/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 xml:space="preserve">Щети от 2000 лв. </w:t>
            </w:r>
          </w:p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до 10000 лв.</w:t>
            </w:r>
          </w:p>
        </w:tc>
      </w:tr>
      <w:tr>
        <w:trPr/>
        <w:tc>
          <w:tcPr>
            <w:tcW w:w="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7,0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Сериозни</w:t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Средни загуби</w:t>
            </w:r>
          </w:p>
        </w:tc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 xml:space="preserve">Щети от 10 000 лв. </w:t>
            </w:r>
          </w:p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до 54 000 лв.</w:t>
            </w:r>
          </w:p>
        </w:tc>
      </w:tr>
      <w:tr>
        <w:trPr/>
        <w:tc>
          <w:tcPr>
            <w:tcW w:w="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15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Опасни</w:t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Високи загуби</w:t>
            </w:r>
          </w:p>
        </w:tc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 xml:space="preserve">Щети от 54 000 лв. </w:t>
            </w:r>
          </w:p>
          <w:p>
            <w:pPr>
              <w:pStyle w:val="Normal"/>
              <w:widowControl/>
              <w:ind w:end="-514"/>
              <w:jc w:val="both"/>
              <w:rPr/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до 300 000 лв.</w:t>
            </w:r>
          </w:p>
        </w:tc>
      </w:tr>
      <w:tr>
        <w:trPr/>
        <w:tc>
          <w:tcPr>
            <w:tcW w:w="5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40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Катастрофални</w:t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27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Загуби, застрашаващи дружеството от изпадане в несъстоятелност</w:t>
            </w:r>
          </w:p>
        </w:tc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Щети по големи от</w:t>
            </w:r>
          </w:p>
          <w:p>
            <w:pPr>
              <w:pStyle w:val="Normal"/>
              <w:widowControl/>
              <w:ind w:end="-514"/>
              <w:jc w:val="both"/>
              <w:rPr/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300 000 лв.</w:t>
            </w:r>
          </w:p>
        </w:tc>
      </w:tr>
    </w:tbl>
    <w:p>
      <w:pPr>
        <w:pStyle w:val="Normal"/>
        <w:widowControl/>
        <w:ind w:end="-514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ind w:end="-514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 xml:space="preserve">Решенията за управление на рисковете и възможностите се вземат съгласно табл. № 1 и табл.№ 2 </w:t>
      </w:r>
    </w:p>
    <w:p>
      <w:pPr>
        <w:pStyle w:val="Normal"/>
        <w:widowControl/>
        <w:ind w:end="-514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ind w:end="-514"/>
        <w:jc w:val="both"/>
        <w:rPr/>
      </w:pPr>
      <w:r>
        <w:rPr>
          <w:rFonts w:cs="Arial"/>
          <w:b w:val="false"/>
          <w:sz w:val="22"/>
          <w:szCs w:val="22"/>
          <w:lang w:val="bg-BG" w:eastAsia="en-US" w:bidi="ar-SA"/>
        </w:rPr>
        <w:t xml:space="preserve">                                                      </w:t>
      </w:r>
      <w:r>
        <w:rPr>
          <w:rFonts w:cs="Arial"/>
          <w:b w:val="false"/>
          <w:sz w:val="22"/>
          <w:szCs w:val="22"/>
          <w:lang w:val="bg-BG" w:eastAsia="en-US" w:bidi="ar-SA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widowControl/>
        <w:ind w:end="-514"/>
        <w:jc w:val="both"/>
        <w:rPr/>
      </w:pPr>
      <w:r>
        <w:rPr/>
        <w:t>Таблица № 1</w:t>
      </w:r>
    </w:p>
    <w:tbl>
      <w:tblPr>
        <w:tblW w:w="935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0"/>
        <w:gridCol w:w="4500"/>
        <w:gridCol w:w="3236"/>
      </w:tblGrid>
      <w:tr>
        <w:trPr>
          <w:trHeight w:val="106" w:hRule="atLeast"/>
          <w:cantSplit/>
        </w:trPr>
        <w:tc>
          <w:tcPr>
            <w:tcW w:w="93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center"/>
              <w:rPr>
                <w:rFonts w:cs="Arial"/>
                <w:bCs/>
                <w:i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Cs/>
                <w:iCs/>
                <w:sz w:val="22"/>
                <w:szCs w:val="22"/>
                <w:lang w:val="bg-BG" w:eastAsia="en-US" w:bidi="ar-SA"/>
              </w:rPr>
              <w:t>Превенция на риска</w:t>
            </w:r>
          </w:p>
        </w:tc>
      </w:tr>
      <w:tr>
        <w:trPr>
          <w:trHeight w:val="106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center"/>
              <w:rPr>
                <w:rFonts w:cs="Arial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Риск/възможност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center"/>
              <w:rPr>
                <w:rFonts w:cs="Arial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Заключение</w:t>
            </w:r>
          </w:p>
        </w:tc>
        <w:tc>
          <w:tcPr>
            <w:tcW w:w="3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center"/>
              <w:rPr>
                <w:rFonts w:cs="Arial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Действия</w:t>
            </w:r>
          </w:p>
        </w:tc>
      </w:tr>
      <w:tr>
        <w:trPr>
          <w:trHeight w:val="148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Р &lt; 20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200"/>
              <w:jc w:val="both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Рискът е незначителен и не се очаква увеличение в близко бъдеще.</w:t>
            </w:r>
          </w:p>
        </w:tc>
        <w:tc>
          <w:tcPr>
            <w:tcW w:w="3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34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Не са необходими действия.</w:t>
            </w:r>
          </w:p>
        </w:tc>
      </w:tr>
      <w:tr>
        <w:trPr>
          <w:trHeight w:val="94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20 &lt; Р &lt; 70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200"/>
              <w:jc w:val="both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Рискът е овладян на едно приемливо ниво, но може да се увеличи в бъдеще.</w:t>
            </w:r>
          </w:p>
        </w:tc>
        <w:tc>
          <w:tcPr>
            <w:tcW w:w="3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34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Не са необходими действия. Рискът трябва да се следи.</w:t>
            </w:r>
          </w:p>
        </w:tc>
      </w:tr>
      <w:tr>
        <w:trPr>
          <w:trHeight w:val="61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70 &lt; Р &lt; 200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200"/>
              <w:jc w:val="both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Незадоволително и неефективно овладян риск.</w:t>
            </w:r>
          </w:p>
        </w:tc>
        <w:tc>
          <w:tcPr>
            <w:tcW w:w="3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34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Рискът следва да се отстрани.</w:t>
            </w:r>
          </w:p>
        </w:tc>
      </w:tr>
      <w:tr>
        <w:trPr>
          <w:trHeight w:val="61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200 &lt; Р &lt; 400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200"/>
              <w:jc w:val="both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Повишен риск, който е незадоволително и неефективно овладян риск.</w:t>
            </w:r>
          </w:p>
        </w:tc>
        <w:tc>
          <w:tcPr>
            <w:tcW w:w="3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34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  <w:t>Незабавно вземане и прилагане на временни мерки, за да се предотврати и овладее излагането на тази опасност</w:t>
            </w:r>
          </w:p>
        </w:tc>
      </w:tr>
      <w:tr>
        <w:trPr>
          <w:trHeight w:val="61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Р &gt; 400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200"/>
              <w:jc w:val="both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Голям риск, неефективно овладян</w:t>
            </w:r>
          </w:p>
        </w:tc>
        <w:tc>
          <w:tcPr>
            <w:tcW w:w="3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end="34"/>
              <w:rPr>
                <w:rFonts w:cs="Arial"/>
                <w:b w:val="false"/>
                <w:bCs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Да се прекъсне дейността. Да се предприемат незабавни мерки за отстраняването му.</w:t>
            </w:r>
          </w:p>
        </w:tc>
      </w:tr>
    </w:tbl>
    <w:p>
      <w:pPr>
        <w:pStyle w:val="Normal"/>
        <w:widowControl/>
        <w:ind w:end="-514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ind w:end="-514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ind w:end="-514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ind w:end="-514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>Таблица № 2</w:t>
      </w:r>
    </w:p>
    <w:tbl>
      <w:tblPr>
        <w:tblW w:w="944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0"/>
        <w:gridCol w:w="2338"/>
        <w:gridCol w:w="5206"/>
      </w:tblGrid>
      <w:tr>
        <w:trPr>
          <w:trHeight w:val="233" w:hRule="atLeast"/>
        </w:trPr>
        <w:tc>
          <w:tcPr>
            <w:tcW w:w="944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/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 xml:space="preserve">                                                           </w:t>
            </w:r>
            <w:r>
              <w:rPr>
                <w:rFonts w:cs="Arial"/>
                <w:sz w:val="22"/>
                <w:szCs w:val="22"/>
                <w:lang w:val="bg-BG" w:eastAsia="en-US" w:bidi="ar-SA"/>
              </w:rPr>
              <w:t>Степен на риска</w:t>
            </w:r>
          </w:p>
        </w:tc>
      </w:tr>
      <w:tr>
        <w:trPr>
          <w:trHeight w:val="233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Първа – І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До 20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Твърде ограничен, приемлив риск</w:t>
            </w:r>
          </w:p>
        </w:tc>
      </w:tr>
      <w:tr>
        <w:trPr>
          <w:trHeight w:val="233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Втора – ІІ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От 20 до 70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Неголям риск, необходимо е внимание</w:t>
            </w:r>
          </w:p>
        </w:tc>
      </w:tr>
      <w:tr>
        <w:trPr>
          <w:trHeight w:val="246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Трета  – ІІІ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От 70 до 200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Необходими са мерки за намаляване на риска</w:t>
            </w:r>
          </w:p>
        </w:tc>
      </w:tr>
      <w:tr>
        <w:trPr>
          <w:trHeight w:val="233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Четвърта – ІV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От 200 до 400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7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Необходимо е незабавно подобряване на условията</w:t>
            </w:r>
          </w:p>
        </w:tc>
      </w:tr>
      <w:tr>
        <w:trPr>
          <w:trHeight w:val="233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Пета  – V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-514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Над 400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ind w:end="117"/>
              <w:jc w:val="both"/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</w:pPr>
            <w:r>
              <w:rPr>
                <w:rFonts w:cs="Arial"/>
                <w:b w:val="false"/>
                <w:sz w:val="22"/>
                <w:szCs w:val="22"/>
                <w:lang w:val="bg-BG" w:eastAsia="en-US" w:bidi="ar-SA"/>
              </w:rPr>
              <w:t>Прекратяване на дейността до отстраняване на риска</w:t>
            </w:r>
          </w:p>
        </w:tc>
      </w:tr>
    </w:tbl>
    <w:p>
      <w:pPr>
        <w:pStyle w:val="Normal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Normal"/>
        <w:widowControl/>
        <w:ind w:firstLine="420" w:end="0"/>
        <w:jc w:val="both"/>
        <w:rPr>
          <w:rFonts w:cs="Arial"/>
          <w:b w:val="false"/>
          <w:bCs/>
          <w:sz w:val="22"/>
          <w:szCs w:val="22"/>
          <w:lang w:val="bg-BG" w:eastAsia="en-US" w:bidi="ar-SA"/>
        </w:rPr>
      </w:pPr>
      <w:r>
        <w:rPr>
          <w:rFonts w:cs="Arial"/>
          <w:b w:val="false"/>
          <w:bCs/>
          <w:sz w:val="22"/>
          <w:szCs w:val="22"/>
          <w:lang w:val="bg-BG" w:eastAsia="en-US" w:bidi="ar-SA"/>
        </w:rPr>
      </w:r>
    </w:p>
    <w:p>
      <w:pPr>
        <w:pStyle w:val="Normal"/>
        <w:jc w:val="both"/>
        <w:rPr/>
      </w:pPr>
      <w:r>
        <w:rPr>
          <w:bCs/>
          <w:sz w:val="22"/>
          <w:lang w:val="bg-BG"/>
        </w:rPr>
        <w:t xml:space="preserve">2.4.4 Идентифициране на опасностите </w:t>
      </w:r>
    </w:p>
    <w:p>
      <w:pPr>
        <w:pStyle w:val="Normal"/>
        <w:widowControl/>
        <w:tabs>
          <w:tab w:val="clear" w:pos="708"/>
          <w:tab w:val="left" w:pos="567" w:leader="none"/>
          <w:tab w:val="center" w:pos="4536" w:leader="none"/>
          <w:tab w:val="right" w:pos="9072" w:leader="none"/>
        </w:tabs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ab/>
        <w:t xml:space="preserve">Управлението на процесите е описано в </w:t>
      </w:r>
      <w:r>
        <w:rPr>
          <w:rFonts w:cs="Arial"/>
          <w:sz w:val="22"/>
          <w:szCs w:val="22"/>
          <w:lang w:val="bg-BG" w:eastAsia="en-US" w:bidi="ar-SA"/>
        </w:rPr>
        <w:t>ОП2-03 „Идентифициране опасностите, оценяване на рисковете и определяне на мерки.”</w:t>
      </w:r>
    </w:p>
    <w:p>
      <w:pPr>
        <w:pStyle w:val="Normal"/>
        <w:widowControl/>
        <w:ind w:firstLine="420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 xml:space="preserve">Оценката на риска за здравето и безопасността и аспектите на околната среда обхваща всички работни процеси, работното оборудване, работните места, организацията на труда, използването на материали и други странични фактори с цел установяване на всички възможни опасности и рискове. </w:t>
      </w:r>
    </w:p>
    <w:p>
      <w:pPr>
        <w:pStyle w:val="Normal"/>
        <w:widowControl/>
        <w:ind w:firstLine="420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BodyText"/>
        <w:jc w:val="start"/>
        <w:rPr/>
      </w:pPr>
      <w:r>
        <w:rPr/>
        <w:t>Документи по темата</w:t>
      </w:r>
    </w:p>
    <w:tbl>
      <w:tblPr>
        <w:tblW w:w="9142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536"/>
        <w:gridCol w:w="4606"/>
      </w:tblGrid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b w:val="false"/>
                <w:sz w:val="22"/>
                <w:lang w:val="bg-BG"/>
              </w:rPr>
            </w:pPr>
            <w:bookmarkStart w:id="0" w:name="_Hlk494398766"/>
            <w:r>
              <w:rPr>
                <w:b w:val="false"/>
                <w:sz w:val="22"/>
                <w:lang w:val="bg-BG"/>
              </w:rPr>
              <w:t>ОП2-03 „Идентифициране опасностите, оценяване на рисковете и определяне на мерки.”</w:t>
            </w:r>
            <w:bookmarkEnd w:id="0"/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jc w:val="start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</w:tbl>
    <w:p>
      <w:pPr>
        <w:pStyle w:val="Normal"/>
        <w:widowControl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jc w:val="both"/>
        <w:rPr/>
      </w:pPr>
      <w:r>
        <w:rPr>
          <w:bCs/>
          <w:sz w:val="22"/>
          <w:lang w:val="bg-BG"/>
        </w:rPr>
        <w:t xml:space="preserve">2.4.5 Задължения за спазване </w:t>
      </w:r>
    </w:p>
    <w:p>
      <w:pPr>
        <w:pStyle w:val="Normal"/>
        <w:widowControl/>
        <w:ind w:firstLine="420" w:end="0"/>
        <w:jc w:val="both"/>
        <w:rPr/>
      </w:pPr>
      <w:r>
        <w:rPr>
          <w:rFonts w:cs="Arial"/>
          <w:b w:val="false"/>
          <w:sz w:val="22"/>
          <w:szCs w:val="22"/>
          <w:lang w:val="bg-BG" w:eastAsia="en-US" w:bidi="ar-SA"/>
        </w:rPr>
        <w:tab/>
        <w:t>В СМП ПЛЕВЕН ЕООД е създаден ред за непрекъснато поддържане на база данни за актуалните нормативни документи, отнасящи се до общата бизнес среда,  специфични за бранша и действащите в страната нормативни документи, касаещи аспектите на околната среда, върху които се оказва съществено влияние. Актуалността на информацията се поддържа по електронен път чрез специализирани сайтове:</w:t>
      </w:r>
    </w:p>
    <w:p>
      <w:pPr>
        <w:pStyle w:val="Normal"/>
        <w:widowControl/>
        <w:ind w:firstLine="420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>-www.lex.bg  – относно абонамент в Държавен вестник;</w:t>
      </w:r>
    </w:p>
    <w:p>
      <w:pPr>
        <w:pStyle w:val="Normal"/>
        <w:widowControl/>
        <w:ind w:firstLine="420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>-www.moew.government.bg – относно здравословна околна среда за населението;</w:t>
      </w:r>
    </w:p>
    <w:p>
      <w:pPr>
        <w:pStyle w:val="Normal"/>
        <w:widowControl/>
        <w:ind w:firstLine="420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>-www.dnsk.mrrb.government.bg – относно обсъждане и правна консултация;</w:t>
      </w:r>
    </w:p>
    <w:p>
      <w:pPr>
        <w:pStyle w:val="Normal"/>
        <w:widowControl/>
        <w:ind w:firstLine="420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en-US" w:eastAsia="en-US" w:bidi="ar-SA"/>
        </w:rPr>
        <w:t>-www</w:t>
      </w:r>
      <w:r>
        <w:rPr>
          <w:rFonts w:cs="Arial"/>
          <w:b w:val="false"/>
          <w:sz w:val="22"/>
          <w:szCs w:val="22"/>
          <w:lang w:val="bg-BG" w:eastAsia="en-US" w:bidi="ar-SA"/>
        </w:rPr>
        <w:t>.</w:t>
      </w:r>
      <w:r>
        <w:rPr>
          <w:rFonts w:cs="Arial"/>
          <w:b w:val="false"/>
          <w:sz w:val="22"/>
          <w:szCs w:val="22"/>
          <w:lang w:val="en-US" w:eastAsia="en-US" w:bidi="ar-SA"/>
        </w:rPr>
        <w:t xml:space="preserve">gli.government.bg – </w:t>
      </w:r>
      <w:r>
        <w:rPr>
          <w:rFonts w:cs="Arial"/>
          <w:b w:val="false"/>
          <w:sz w:val="22"/>
          <w:szCs w:val="22"/>
          <w:lang w:val="bg-BG" w:eastAsia="en-US" w:bidi="ar-SA"/>
        </w:rPr>
        <w:t>относно ЗБР и условия на труд</w:t>
      </w:r>
    </w:p>
    <w:p>
      <w:pPr>
        <w:pStyle w:val="Normal"/>
        <w:widowControl/>
        <w:ind w:firstLine="420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>-www.bds-bg.org  – относно изменения в международните стандарти ISO;</w:t>
      </w:r>
    </w:p>
    <w:p>
      <w:pPr>
        <w:pStyle w:val="Normal"/>
        <w:widowControl/>
        <w:ind w:firstLine="420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>-www.damtn.government.bg – относно БДС, български стандарти хармонизирани с ЕС,  европейски технически одобрения;</w:t>
      </w:r>
    </w:p>
    <w:p>
      <w:pPr>
        <w:pStyle w:val="Normal"/>
        <w:widowControl/>
        <w:ind w:firstLine="420" w:end="0"/>
        <w:jc w:val="both"/>
        <w:rPr/>
      </w:pPr>
      <w:r>
        <w:rPr>
          <w:rFonts w:cs="Arial"/>
          <w:b w:val="false"/>
          <w:sz w:val="22"/>
          <w:szCs w:val="22"/>
          <w:lang w:val="bg-BG" w:eastAsia="en-US" w:bidi="ar-SA"/>
        </w:rPr>
        <w:t xml:space="preserve">ПР за СУ има задължението да следи за актуалността на нормативните документи и да поддържа Ф1-07 „Матрица на държавните документи”. </w:t>
      </w:r>
    </w:p>
    <w:p>
      <w:pPr>
        <w:pStyle w:val="Normal"/>
        <w:widowControl/>
        <w:ind w:firstLine="420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>ПР за СУ има задължението  да осигурява необходимата информация  на заинтересованите служители съгласно ОП1-01 „Управление на документи“.</w:t>
      </w:r>
    </w:p>
    <w:p>
      <w:pPr>
        <w:pStyle w:val="Normal"/>
        <w:widowControl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ind w:firstLine="420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widowControl/>
        <w:ind w:firstLine="420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</w:r>
    </w:p>
    <w:p>
      <w:pPr>
        <w:pStyle w:val="Normal"/>
        <w:jc w:val="both"/>
        <w:rPr>
          <w:bCs/>
          <w:sz w:val="22"/>
          <w:lang w:val="bg-BG"/>
        </w:rPr>
      </w:pPr>
      <w:r>
        <w:rPr>
          <w:bCs/>
          <w:sz w:val="22"/>
          <w:lang w:val="bg-BG"/>
        </w:rPr>
        <w:t>2.4.6 Планирани действия</w:t>
      </w:r>
    </w:p>
    <w:p>
      <w:pPr>
        <w:pStyle w:val="Normal"/>
        <w:ind w:firstLine="708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 xml:space="preserve">СМП ПЛЕВЕН ЕООД планира на най-високо ниво действията, които трябва да се предприемат в рамките на СУ, за да се справи със значимите </w:t>
      </w:r>
      <w:r>
        <w:rPr>
          <w:rFonts w:cs="Arial"/>
          <w:b w:val="false"/>
          <w:sz w:val="22"/>
          <w:szCs w:val="22"/>
          <w:lang w:val="en-US" w:eastAsia="en-US" w:bidi="ar-SA"/>
        </w:rPr>
        <w:t>рискове по ЗБР,</w:t>
      </w:r>
      <w:r>
        <w:rPr>
          <w:rFonts w:cs="Arial"/>
          <w:b w:val="false"/>
          <w:sz w:val="22"/>
          <w:szCs w:val="22"/>
          <w:lang w:val="bg-BG" w:eastAsia="en-US" w:bidi="ar-SA"/>
        </w:rPr>
        <w:t xml:space="preserve"> задълженията за спазване и рисковете и възможностите, които са приоритет на организацията за постигане на очакваните резултати от СУ. </w:t>
      </w:r>
    </w:p>
    <w:p>
      <w:pPr>
        <w:pStyle w:val="Normal"/>
        <w:ind w:firstLine="708" w:end="0"/>
        <w:jc w:val="both"/>
        <w:rPr>
          <w:b w:val="false"/>
          <w:bCs/>
          <w:sz w:val="22"/>
          <w:lang w:val="bg-BG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>Планираните действия включват определяне на цели по ЗБР.</w:t>
      </w:r>
    </w:p>
    <w:p>
      <w:pPr>
        <w:pStyle w:val="Normal"/>
        <w:ind w:firstLine="708" w:end="0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Heading2"/>
        <w:tabs>
          <w:tab w:val="clear" w:pos="1134"/>
        </w:tabs>
        <w:ind w:hanging="0" w:start="0"/>
        <w:rPr>
          <w:lang w:val="bg-BG"/>
        </w:rPr>
      </w:pPr>
      <w:bookmarkStart w:id="1" w:name="DDE_LINK5"/>
      <w:bookmarkStart w:id="2" w:name="DDE_LINK131"/>
      <w:bookmarkStart w:id="3" w:name="DDE_LINK121"/>
      <w:bookmarkStart w:id="4" w:name="DDE_LINK111"/>
      <w:r>
        <w:rPr>
          <w:lang w:val="bg-BG"/>
        </w:rPr>
        <w:t>2.5</w:t>
        <w:tab/>
        <w:t xml:space="preserve">   Отговорности, </w:t>
      </w:r>
      <w:bookmarkEnd w:id="1"/>
      <w:r>
        <w:rPr>
          <w:lang w:val="bg-BG"/>
        </w:rPr>
        <w:t>правомощия и обмен на информация</w:t>
      </w:r>
    </w:p>
    <w:p>
      <w:pPr>
        <w:pStyle w:val="Normal"/>
        <w:rPr>
          <w:sz w:val="28"/>
          <w:lang w:val="bg-BG"/>
        </w:rPr>
      </w:pPr>
      <w:r>
        <w:rPr>
          <w:sz w:val="28"/>
          <w:lang w:val="bg-BG"/>
        </w:rPr>
      </w:r>
    </w:p>
    <w:p>
      <w:pPr>
        <w:pStyle w:val="Heading3"/>
        <w:ind w:hanging="0" w:start="0"/>
        <w:rPr>
          <w:lang w:val="bg-BG"/>
        </w:rPr>
      </w:pPr>
      <w:r>
        <w:rPr>
          <w:lang w:val="bg-BG"/>
        </w:rPr>
        <w:t>2.5.1</w:t>
        <w:tab/>
        <w:t xml:space="preserve">Отговорности и правомощия </w:t>
      </w:r>
    </w:p>
    <w:p>
      <w:pPr>
        <w:pStyle w:val="Normal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>За ефективното управление на ЗБР, длъжностите във фирмата с техните отговорности и правомощия са определени в длъжностни характеристики. Длъжностните характеристики подлежат на актуализация при реализиране на структурни промени в организацията, водещи до промени в характера на извършваната от съответния служител, дейност и разширяване / намаляване на неговите правомощия / отговорности. Подобни промени се налагат често и при изменения в Интегрираната система за управление или в част от нея.</w:t>
      </w:r>
    </w:p>
    <w:p>
      <w:pPr>
        <w:pStyle w:val="Normal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 xml:space="preserve">Отговорен за актуализиране на длъжностните характеристики е счетоводителят. Той изготвя проекто-вариант и го представя за одобрение пред Управителя. Последният прави съответните корекции, ако е необходимо, и подписва  актуализираната длъжностна характеристика.  </w:t>
      </w:r>
    </w:p>
    <w:p>
      <w:pPr>
        <w:pStyle w:val="Normal"/>
        <w:ind w:firstLine="708" w:end="0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  <w:t>Всички служители на фирмата, в съответствие с длъжностните характеристики за съответните работни места, могат да идентифицират несъответствия, да инициират мерки по тяхното отстраняване и да правят предложения за подобряване на технологичните процеси или организацията на работа.</w:t>
      </w:r>
    </w:p>
    <w:p>
      <w:pPr>
        <w:pStyle w:val="Normal"/>
        <w:ind w:start="851" w:end="0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BodyText"/>
        <w:jc w:val="start"/>
        <w:rPr/>
      </w:pPr>
      <w:r>
        <w:rPr/>
        <w:t>Документи по темата</w:t>
      </w:r>
    </w:p>
    <w:tbl>
      <w:tblPr>
        <w:tblW w:w="9142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536"/>
        <w:gridCol w:w="4606"/>
      </w:tblGrid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ОП2-01 Отговорност на ръководството</w:t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Ф2-01 Органиграма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jc w:val="start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Ф2-02 Матрица на отговорностите</w:t>
            </w:r>
          </w:p>
        </w:tc>
      </w:tr>
    </w:tbl>
    <w:p>
      <w:pPr>
        <w:pStyle w:val="Heading3"/>
        <w:ind w:hanging="0" w:start="0"/>
        <w:jc w:val="both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  <w:bookmarkStart w:id="5" w:name="DDE_LINK7"/>
    </w:p>
    <w:p>
      <w:pPr>
        <w:pStyle w:val="Heading4"/>
        <w:ind w:hanging="0" w:start="0"/>
        <w:jc w:val="both"/>
        <w:rPr>
          <w:lang w:val="bg-BG"/>
        </w:rPr>
      </w:pPr>
      <w:bookmarkEnd w:id="5"/>
      <w:r>
        <w:rPr>
          <w:lang w:val="bg-BG"/>
        </w:rPr>
        <w:t>2.5.2</w:t>
        <w:tab/>
        <w:t>Пълномощник от ръководството за СУ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Kapber81"/>
        <w:ind w:firstLine="708" w:end="0"/>
        <w:jc w:val="both"/>
        <w:rPr/>
      </w:pPr>
      <w:r>
        <w:rPr>
          <w:b w:val="false"/>
          <w:bCs/>
          <w:sz w:val="22"/>
          <w:lang w:val="bg-BG"/>
        </w:rPr>
        <w:t xml:space="preserve">Ръководството на СМП ПЛЕВЕН ЕООД  определя основните предпоставки за правилното провеждане и подобряване на управлението на здравето и безопасността при работа и за изпълнение на задълженията в рамките на законите и предписанията. То избира пълномощник от ръководството, който е член от ръководството на фирмата, контролира делегираните задачи и отпуска необходимите средства за тяхното приложение.  </w:t>
      </w:r>
    </w:p>
    <w:p>
      <w:pPr>
        <w:pStyle w:val="Normal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</w:r>
    </w:p>
    <w:p>
      <w:pPr>
        <w:pStyle w:val="BodyTextIndent2"/>
        <w:jc w:val="center"/>
        <w:rPr>
          <w:lang w:val="bg-BG"/>
        </w:rPr>
      </w:pPr>
      <w:r>
        <w:rPr>
          <w:lang w:val="bg-BG"/>
        </w:rPr>
        <w:t>Ръководството на предприятието определя</w:t>
      </w:r>
    </w:p>
    <w:p>
      <w:pPr>
        <w:pStyle w:val="BodyTextIndent2"/>
        <w:ind w:firstLine="708" w:end="0"/>
        <w:rPr>
          <w:lang w:val="bg-BG"/>
        </w:rPr>
      </w:pPr>
      <w:r>
        <w:rPr>
          <w:lang w:val="bg-BG"/>
        </w:rPr>
      </w:r>
    </w:p>
    <w:p>
      <w:pPr>
        <w:pStyle w:val="BodyTextIndent2"/>
        <w:jc w:val="cent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Представител на ръководството</w:t>
      </w:r>
    </w:p>
    <w:p>
      <w:pPr>
        <w:pStyle w:val="BodyTextIndent2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BodyTextIndent2"/>
        <w:rPr/>
      </w:pPr>
      <w:r>
        <w:rPr>
          <w:lang w:val="bg-BG"/>
        </w:rPr>
        <w:t>за пълномощник от ръководството (отговорник за системата на управление – ПР за СУ) по всички безопасността и здравето при работа, както и за системата за управление в предприятието. Задача на ПР за СУ е да полага грижи за системата на управление, особено в следните аспекти:</w:t>
      </w:r>
    </w:p>
    <w:p>
      <w:pPr>
        <w:pStyle w:val="BodyTextIndent2"/>
        <w:rPr>
          <w:lang w:val="bg-BG"/>
        </w:rPr>
      </w:pPr>
      <w:r>
        <w:rPr>
          <w:lang w:val="bg-BG"/>
        </w:rPr>
      </w:r>
    </w:p>
    <w:p>
      <w:pPr>
        <w:pStyle w:val="BodyTextIndent2"/>
        <w:numPr>
          <w:ilvl w:val="0"/>
          <w:numId w:val="2"/>
        </w:numPr>
        <w:rPr>
          <w:lang w:val="bg-BG"/>
        </w:rPr>
      </w:pPr>
      <w:r>
        <w:rPr>
          <w:lang w:val="bg-BG"/>
        </w:rPr>
        <w:t>Да следи за спазването на изискванията на ISO 45001:2023  и да поддържа целостта на системата при изменения в тях;</w:t>
      </w:r>
    </w:p>
    <w:p>
      <w:pPr>
        <w:pStyle w:val="BodyTextIndent2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Да проучва законовите административни изисквания и да ги предоставя на фирмата; </w:t>
      </w:r>
    </w:p>
    <w:p>
      <w:pPr>
        <w:pStyle w:val="BodyTextIndent2"/>
        <w:numPr>
          <w:ilvl w:val="0"/>
          <w:numId w:val="2"/>
        </w:numPr>
        <w:rPr>
          <w:lang w:val="bg-BG"/>
        </w:rPr>
      </w:pPr>
      <w:r>
        <w:rPr>
          <w:lang w:val="bg-BG"/>
        </w:rPr>
        <w:t>Да гарантира, че системата на управление се провежда и развива според изискванията на гореспоменатите норми;</w:t>
      </w:r>
    </w:p>
    <w:p>
      <w:pPr>
        <w:pStyle w:val="BodyTextIndent2"/>
        <w:numPr>
          <w:ilvl w:val="0"/>
          <w:numId w:val="2"/>
        </w:numPr>
        <w:rPr>
          <w:lang w:val="bg-BG"/>
        </w:rPr>
      </w:pPr>
      <w:r>
        <w:rPr>
          <w:lang w:val="bg-BG"/>
        </w:rPr>
        <w:t>Да осведомява и докладва за производителността на системата за управление и за необходимото подобряване;</w:t>
      </w:r>
    </w:p>
    <w:p>
      <w:pPr>
        <w:pStyle w:val="BodyTextIndent2"/>
        <w:numPr>
          <w:ilvl w:val="0"/>
          <w:numId w:val="2"/>
        </w:numPr>
        <w:rPr>
          <w:lang w:val="bg-BG"/>
        </w:rPr>
      </w:pPr>
      <w:r>
        <w:rPr>
          <w:lang w:val="bg-BG"/>
        </w:rPr>
        <w:t>Да осигурява насърчаването на насочеността към клиента навсякъде в организацията.</w:t>
      </w:r>
    </w:p>
    <w:p>
      <w:pPr>
        <w:pStyle w:val="BodyTextIndent2"/>
        <w:ind w:start="708" w:end="0"/>
        <w:rPr>
          <w:lang w:val="bg-BG"/>
        </w:rPr>
      </w:pPr>
      <w:r>
        <w:rPr>
          <w:lang w:val="bg-BG"/>
        </w:rPr>
      </w:r>
    </w:p>
    <w:p>
      <w:pPr>
        <w:pStyle w:val="BodyTextIndent2"/>
        <w:ind w:firstLine="708" w:end="0"/>
        <w:rPr/>
      </w:pPr>
      <w:r>
        <w:rPr>
          <w:lang w:val="bg-BG"/>
        </w:rPr>
        <w:t>Пълномощникът отговаря за изготвянето, проверката, промяната и разпределението на документацията за управление.</w:t>
      </w:r>
      <w:r>
        <w:rPr>
          <w:lang w:val="en-US"/>
        </w:rPr>
        <w:t xml:space="preserve"> </w:t>
      </w:r>
      <w:r>
        <w:rPr>
          <w:lang w:val="bg-BG"/>
        </w:rPr>
        <w:t xml:space="preserve">За отделните стандарти от СУ е възможно определянето на координатори, които да съгласуват и подпомагат воденето на системите. Документацията за управление влиза в сила след одобрение от ръководството. Отделни нови глави, описания на процеси, помощи при работата и формуляри се включват след проверка и се записват в съдържанието на наръчника със съответния си ревизионен номер. </w:t>
      </w:r>
      <w:bookmarkStart w:id="6" w:name="BM__________"/>
      <w:bookmarkEnd w:id="2"/>
      <w:bookmarkEnd w:id="3"/>
      <w:bookmarkEnd w:id="4"/>
      <w:bookmarkEnd w:id="6"/>
    </w:p>
    <w:p>
      <w:pPr>
        <w:pStyle w:val="Heading2"/>
        <w:ind w:hanging="0" w:start="0"/>
        <w:rPr>
          <w:lang w:val="bg-BG"/>
        </w:rPr>
      </w:pPr>
      <w:r>
        <w:rPr>
          <w:lang w:val="bg-BG"/>
        </w:rPr>
      </w:r>
    </w:p>
    <w:p>
      <w:pPr>
        <w:pStyle w:val="Heading2"/>
        <w:ind w:hanging="0" w:start="0"/>
        <w:rPr>
          <w:lang w:val="bg-BG"/>
        </w:rPr>
      </w:pPr>
      <w:r>
        <w:rPr>
          <w:lang w:val="bg-BG"/>
        </w:rPr>
        <w:t>2.5.3</w:t>
        <w:tab/>
        <w:t xml:space="preserve">Комуникация </w:t>
      </w:r>
    </w:p>
    <w:p>
      <w:pPr>
        <w:pStyle w:val="BodyText"/>
        <w:jc w:val="start"/>
        <w:rPr>
          <w:b w:val="false"/>
          <w:i/>
          <w:sz w:val="22"/>
          <w:lang w:val="bg-BG"/>
        </w:rPr>
      </w:pPr>
      <w:r>
        <w:rPr>
          <w:b w:val="false"/>
          <w:i/>
          <w:sz w:val="22"/>
          <w:lang w:val="bg-BG"/>
        </w:rPr>
      </w:r>
    </w:p>
    <w:p>
      <w:pPr>
        <w:pStyle w:val="BodyTextIndent2"/>
        <w:ind w:firstLine="708" w:end="0"/>
        <w:rPr/>
      </w:pPr>
      <w:r>
        <w:rPr>
          <w:lang w:val="bg-BG"/>
        </w:rPr>
        <w:t xml:space="preserve">Ръководството на </w:t>
      </w:r>
      <w:r>
        <w:rPr>
          <w:bCs/>
          <w:lang w:val="bg-BG"/>
        </w:rPr>
        <w:t xml:space="preserve">СМП ПЛЕВЕН ЕООД </w:t>
      </w:r>
      <w:r>
        <w:rPr>
          <w:lang w:val="bg-BG"/>
        </w:rPr>
        <w:t xml:space="preserve"> осигурява координирането на дейността по обмен на информацията. Това гарантира бързото преодоляване на възникващите проблеми, вземане на адекватни решения, постигане на целите ЗБР и пълно удовлетворяване очакванията и изискванията на клиента. </w:t>
      </w:r>
    </w:p>
    <w:p>
      <w:pPr>
        <w:pStyle w:val="BodyTextIndent2"/>
        <w:ind w:firstLine="708" w:end="0"/>
        <w:rPr/>
      </w:pPr>
      <w:r>
        <w:rPr>
          <w:lang w:val="bg-BG"/>
        </w:rPr>
        <w:t>Вътрешната комуникация между различните нива и длъжности се осъществява чрез заповеди или разпоредби от страна на ръководството, и чрез становища, молби и др. от страна на служителите. Други форми на комуникация са оперативните съвещания, събрания на служителите и директни контакти между тях.</w:t>
      </w:r>
    </w:p>
    <w:p>
      <w:pPr>
        <w:pStyle w:val="BodyTextIndent2"/>
        <w:ind w:firstLine="708" w:end="0"/>
        <w:rPr/>
      </w:pPr>
      <w:r>
        <w:rPr>
          <w:lang w:val="bg-BG"/>
        </w:rPr>
        <w:t xml:space="preserve">За въпросите, отнасящи се до всички сътрудници, ръководството информира чрез информационни </w:t>
      </w:r>
      <w:r>
        <w:rPr>
          <w:szCs w:val="22"/>
          <w:lang w:val="bg-BG"/>
        </w:rPr>
        <w:t>табла, монтирани на видно място в офиса и склада.</w:t>
      </w:r>
    </w:p>
    <w:p>
      <w:pPr>
        <w:pStyle w:val="Normal"/>
        <w:widowControl/>
        <w:ind w:firstLine="720" w:end="0"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>За да могат работниците и служителите да могат по-активно и ползотворно да участват при обсъжданията за подобряване на вредните въздействие върху рисковете, свързани с ЗБР, те трябва да бъдат информирани. ПР за СУ предоставя необходимата информация за значимите рискове по ЗБР, както и за мерките, които се предприемат за отстраняването, намаляването или контролирането на тези рискове. В случай или при вероятност от възникване на сериозна и непосредствена опасност за здравето, застрашените работници, подизпълнители и външни лица трябва да бъдат информирани в най-кратък срок за действията, които се предприемат във връзка със защитата на здравето.</w:t>
      </w:r>
    </w:p>
    <w:p>
      <w:pPr>
        <w:pStyle w:val="Normal"/>
        <w:widowControl/>
        <w:ind w:firstLine="708" w:end="0"/>
        <w:jc w:val="both"/>
        <w:rPr/>
      </w:pPr>
      <w:r>
        <w:rPr>
          <w:rFonts w:cs="Arial"/>
          <w:b w:val="false"/>
          <w:sz w:val="22"/>
          <w:szCs w:val="22"/>
          <w:lang w:val="bg-BG" w:eastAsia="en-US" w:bidi="ar-SA"/>
        </w:rPr>
        <w:t>Служителите биват консултирани при всяка промяна засягаща управляваните от организацията значими рискове по ЗБР и имат свои представители при определяне значимите рисковете по ЗБР.</w:t>
      </w:r>
    </w:p>
    <w:p>
      <w:pPr>
        <w:pStyle w:val="Normal"/>
        <w:widowControl/>
        <w:jc w:val="both"/>
        <w:rPr>
          <w:rFonts w:cs="Arial"/>
          <w:b w:val="false"/>
          <w:sz w:val="22"/>
          <w:szCs w:val="22"/>
          <w:lang w:val="bg-BG" w:eastAsia="en-US" w:bidi="ar-SA"/>
        </w:rPr>
      </w:pPr>
      <w:r>
        <w:rPr>
          <w:rFonts w:cs="Arial"/>
          <w:b w:val="false"/>
          <w:sz w:val="22"/>
          <w:szCs w:val="22"/>
          <w:lang w:val="bg-BG" w:eastAsia="en-US" w:bidi="ar-SA"/>
        </w:rPr>
        <w:t xml:space="preserve">Информацията и комуникацията се документира, с цел да има доказателство при възникване на събитие. Процесите по обмен на информация между различните нива на управление в организацията, както и външни посетители са регламентирани в </w:t>
      </w:r>
      <w:r>
        <w:rPr>
          <w:rFonts w:cs="Arial"/>
          <w:sz w:val="22"/>
          <w:szCs w:val="22"/>
          <w:lang w:val="bg-BG" w:eastAsia="en-US" w:bidi="ar-SA"/>
        </w:rPr>
        <w:t>ОП2-02 „Комуникации и консултации”</w:t>
      </w:r>
      <w:r>
        <w:rPr>
          <w:rFonts w:cs="Arial"/>
          <w:b w:val="false"/>
          <w:sz w:val="22"/>
          <w:szCs w:val="22"/>
          <w:lang w:val="bg-BG" w:eastAsia="en-US" w:bidi="ar-SA"/>
        </w:rPr>
        <w:t>.</w:t>
      </w:r>
    </w:p>
    <w:p>
      <w:pPr>
        <w:pStyle w:val="Normal"/>
        <w:ind w:firstLine="708" w:end="0"/>
        <w:jc w:val="both"/>
        <w:rPr>
          <w:b w:val="false"/>
          <w:bCs/>
          <w:sz w:val="22"/>
          <w:lang w:val="bg-BG"/>
        </w:rPr>
      </w:pPr>
      <w:r>
        <w:rPr>
          <w:b w:val="false"/>
          <w:bCs/>
          <w:sz w:val="22"/>
          <w:lang w:val="bg-BG"/>
        </w:rPr>
        <w:t>Ежеседмично или при необходимост се провеждат срещи (оперативки) на сътрудниците, които се планират и протоколират. Обсъждат се въпроси относно цялостната дейност на фирмата, както и предложения за подобрение и идентифицирани несъответствия.</w:t>
      </w:r>
    </w:p>
    <w:p>
      <w:pPr>
        <w:pStyle w:val="Normal"/>
        <w:ind w:firstLine="708" w:end="0"/>
        <w:jc w:val="both"/>
        <w:rPr>
          <w:lang w:val="bg-BG"/>
        </w:rPr>
      </w:pPr>
      <w:r>
        <w:rPr>
          <w:b w:val="false"/>
          <w:bCs/>
          <w:sz w:val="22"/>
          <w:lang w:val="bg-BG"/>
        </w:rPr>
        <w:t xml:space="preserve"> </w:t>
      </w:r>
    </w:p>
    <w:p>
      <w:pPr>
        <w:pStyle w:val="BodyTextIndent2"/>
        <w:ind w:firstLine="708" w:end="0"/>
        <w:rPr>
          <w:lang w:val="bg-BG"/>
        </w:rPr>
      </w:pPr>
      <w:r>
        <w:rPr>
          <w:lang w:val="bg-BG"/>
        </w:rPr>
      </w:r>
    </w:p>
    <w:p>
      <w:pPr>
        <w:pStyle w:val="BodyText"/>
        <w:jc w:val="start"/>
        <w:rPr/>
      </w:pPr>
      <w:r>
        <w:rPr/>
        <w:t>Документи по темата</w:t>
      </w:r>
    </w:p>
    <w:tbl>
      <w:tblPr>
        <w:tblW w:w="9142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536"/>
        <w:gridCol w:w="4606"/>
      </w:tblGrid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ОП2-03 Комуникации и консултации</w:t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jc w:val="start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jc w:val="start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jc w:val="start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jc w:val="start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jc w:val="start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</w:r>
          </w:p>
        </w:tc>
      </w:tr>
    </w:tbl>
    <w:p>
      <w:pPr>
        <w:pStyle w:val="BodyText"/>
        <w:tabs>
          <w:tab w:val="clear" w:pos="708"/>
          <w:tab w:val="left" w:pos="9072" w:leader="none"/>
        </w:tabs>
        <w:jc w:val="start"/>
        <w:rPr>
          <w:lang w:val="bg-BG"/>
        </w:rPr>
      </w:pPr>
      <w:r>
        <w:rPr>
          <w:lang w:val="bg-BG"/>
        </w:rPr>
      </w:r>
    </w:p>
    <w:p>
      <w:pPr>
        <w:pStyle w:val="BodyText"/>
        <w:tabs>
          <w:tab w:val="clear" w:pos="708"/>
          <w:tab w:val="left" w:pos="9072" w:leader="none"/>
        </w:tabs>
        <w:jc w:val="start"/>
        <w:rPr>
          <w:b w:val="false"/>
          <w:sz w:val="22"/>
          <w:lang w:val="bg-BG"/>
        </w:rPr>
      </w:pPr>
      <w:r>
        <w:rPr>
          <w:lang w:val="bg-BG"/>
        </w:rPr>
        <w:t xml:space="preserve">2.6 Преглед на ръководството </w:t>
      </w:r>
    </w:p>
    <w:p>
      <w:pPr>
        <w:pStyle w:val="Normal"/>
        <w:ind w:start="851" w:end="0"/>
        <w:rPr>
          <w:b w:val="false"/>
          <w:sz w:val="22"/>
          <w:lang w:val="bg-BG"/>
        </w:rPr>
      </w:pPr>
      <w:r>
        <w:rPr>
          <w:b w:val="false"/>
          <w:sz w:val="22"/>
          <w:lang w:val="bg-BG"/>
        </w:rPr>
      </w:r>
    </w:p>
    <w:p>
      <w:pPr>
        <w:pStyle w:val="BodyTextIndent2"/>
        <w:ind w:firstLine="708" w:end="0"/>
        <w:rPr/>
      </w:pPr>
      <w:r>
        <w:rPr>
          <w:lang w:val="bg-BG"/>
        </w:rPr>
        <w:t xml:space="preserve">Прегледите на ръководството включват разглеждане настоящото състояние и функционирането на Интегрираната система за управление. Те се извършват с цел да се провери ефективността на системата, да се оцени нуждата от промени и постигането на целите по ЗБР. Прегледи на ръководството се планират и провеждат първоначално при въвеждане на системата за управление и след това поне веднъж годишно. </w:t>
      </w:r>
    </w:p>
    <w:p>
      <w:pPr>
        <w:pStyle w:val="BodyTextIndent2"/>
        <w:ind w:firstLine="708" w:end="0"/>
        <w:rPr/>
      </w:pPr>
      <w:r>
        <w:rPr>
          <w:lang w:val="bg-BG"/>
        </w:rPr>
        <w:t>ПР за СУ, със съдействието на управителя са ангажирани с управлението на Системата, предоставят анализи от цялостната дейност и ги предоставят на Оперативния съвет за изготвяне на прегледа.</w:t>
      </w:r>
    </w:p>
    <w:p>
      <w:pPr>
        <w:pStyle w:val="BodyTextIndent2"/>
        <w:rPr>
          <w:lang w:val="bg-BG"/>
        </w:rPr>
      </w:pPr>
      <w:r>
        <w:rPr>
          <w:lang w:val="bg-BG"/>
        </w:rPr>
      </w:r>
    </w:p>
    <w:p>
      <w:pPr>
        <w:pStyle w:val="BodyTextIndent2"/>
        <w:rPr/>
      </w:pPr>
      <w:r>
        <w:rPr>
          <w:b/>
          <w:lang w:val="bg-BG"/>
        </w:rPr>
        <w:t>За входни данни на прегледа от ръководството служат</w:t>
      </w:r>
      <w:r>
        <w:rPr>
          <w:lang w:val="bg-BG"/>
        </w:rPr>
        <w:t>: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резултати от одити на СУ. Пълномощникът съставя Доклад за извършените одити;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 xml:space="preserve">обратна информация от клиенти: преглед на предложения и оплаквания на клиенти и служители, преглед на рекламациите; 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ефикасност на действията, предприети за овладяване на рисковете и възможностите;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преглед на изпълнението от външни доставчици;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преглед на изпълнението на целите по ЗБР;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резултати от наблюдения и измервания;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преглед на проведените обучения;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проверка за съответствие на СУ и предложения за коригиращи мерки;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проверка за извършени коригиращи действия и цялостна оценка на ефективността на СУ;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изпълнение на решения от предишни прегледи;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адекватност на ресурсите;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промени в първоначалните условия, които могат да повлияят на СУ.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анализи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резултати от предишни прегледи от Ръководството и одити;</w:t>
      </w:r>
    </w:p>
    <w:p>
      <w:pPr>
        <w:pStyle w:val="BodyTextIndent2"/>
        <w:numPr>
          <w:ilvl w:val="0"/>
          <w:numId w:val="3"/>
        </w:numPr>
        <w:rPr>
          <w:lang w:val="bg-BG"/>
        </w:rPr>
      </w:pPr>
      <w:r>
        <w:rPr>
          <w:lang w:val="bg-BG"/>
        </w:rPr>
        <w:t>възможност за подобряване;</w:t>
      </w:r>
    </w:p>
    <w:p>
      <w:pPr>
        <w:pStyle w:val="BodyTextIndent2"/>
        <w:rPr>
          <w:lang w:val="bg-BG"/>
        </w:rPr>
      </w:pPr>
      <w:r>
        <w:rPr>
          <w:lang w:val="bg-BG"/>
        </w:rPr>
      </w:r>
    </w:p>
    <w:p>
      <w:pPr>
        <w:pStyle w:val="BodyTextIndent2"/>
        <w:rPr>
          <w:b/>
          <w:bCs/>
          <w:lang w:val="bg-BG"/>
        </w:rPr>
      </w:pPr>
      <w:r>
        <w:rPr>
          <w:b/>
          <w:bCs/>
          <w:lang w:val="bg-BG"/>
        </w:rPr>
        <w:t>Изходни елементи от прегледа  (резултати):</w:t>
      </w:r>
    </w:p>
    <w:p>
      <w:pPr>
        <w:pStyle w:val="BodyTextIndent2"/>
        <w:rPr>
          <w:b/>
          <w:bCs/>
          <w:lang w:val="bg-BG"/>
        </w:rPr>
      </w:pPr>
      <w:r>
        <w:rPr>
          <w:b/>
          <w:bCs/>
          <w:lang w:val="bg-BG"/>
        </w:rPr>
      </w:r>
    </w:p>
    <w:p>
      <w:pPr>
        <w:pStyle w:val="BodyTextIndent2"/>
        <w:rPr/>
      </w:pPr>
      <w:r>
        <w:rPr>
          <w:lang w:val="bg-BG"/>
        </w:rPr>
        <w:t>Като резултат от прегледа, ръководството на организацията дава обща оценка за състоянието на СУ и необходимите мерки за нейното усъвършенстване. Изводите, препоръките и решенията се документират в доклад от ръководството, като Представителят на ръководството го съхранява и контролира изпълнението на решенията.</w:t>
      </w:r>
    </w:p>
    <w:p>
      <w:pPr>
        <w:pStyle w:val="BodyTextIndent2"/>
        <w:rPr>
          <w:b/>
          <w:lang w:val="bg-BG"/>
        </w:rPr>
      </w:pPr>
      <w:r>
        <w:rPr>
          <w:b/>
          <w:lang w:val="bg-BG"/>
        </w:rPr>
      </w:r>
    </w:p>
    <w:p>
      <w:pPr>
        <w:pStyle w:val="BodyTextIndent2"/>
        <w:rPr>
          <w:b/>
          <w:lang w:val="bg-BG"/>
        </w:rPr>
      </w:pPr>
      <w:r>
        <w:rPr>
          <w:b/>
          <w:lang w:val="bg-BG"/>
        </w:rPr>
      </w:r>
    </w:p>
    <w:p>
      <w:pPr>
        <w:pStyle w:val="BodyTextIndent2"/>
        <w:rPr>
          <w:lang w:val="bg-BG"/>
        </w:rPr>
      </w:pPr>
      <w:r>
        <w:rPr>
          <w:lang w:val="bg-BG"/>
        </w:rPr>
        <w:t>Резултатите от прегледа включват решения и действия, свързани с:</w:t>
      </w:r>
    </w:p>
    <w:p>
      <w:pPr>
        <w:pStyle w:val="BodyTextIndent2"/>
        <w:numPr>
          <w:ilvl w:val="0"/>
          <w:numId w:val="5"/>
        </w:numPr>
        <w:rPr>
          <w:lang w:val="bg-BG"/>
        </w:rPr>
      </w:pPr>
      <w:r>
        <w:rPr>
          <w:lang w:val="bg-BG"/>
        </w:rPr>
        <w:t>необходимост от изменения на СУ и на процесите в нея;</w:t>
      </w:r>
    </w:p>
    <w:p>
      <w:pPr>
        <w:pStyle w:val="BodyTextIndent2"/>
        <w:numPr>
          <w:ilvl w:val="0"/>
          <w:numId w:val="5"/>
        </w:numPr>
        <w:rPr>
          <w:lang w:val="bg-BG"/>
        </w:rPr>
      </w:pPr>
      <w:r>
        <w:rPr>
          <w:lang w:val="bg-BG"/>
        </w:rPr>
        <w:t>подобрения на продуктите и СУ;</w:t>
      </w:r>
    </w:p>
    <w:p>
      <w:pPr>
        <w:pStyle w:val="BodyTextIndent2"/>
        <w:numPr>
          <w:ilvl w:val="0"/>
          <w:numId w:val="5"/>
        </w:numPr>
        <w:rPr>
          <w:lang w:val="bg-BG"/>
        </w:rPr>
      </w:pPr>
      <w:r>
        <w:rPr>
          <w:lang w:val="bg-BG"/>
        </w:rPr>
        <w:t>потребността от ресурси.</w:t>
      </w:r>
    </w:p>
    <w:p>
      <w:pPr>
        <w:pStyle w:val="BodyTextIndent2"/>
        <w:rPr>
          <w:lang w:val="bg-BG"/>
        </w:rPr>
      </w:pPr>
      <w:r>
        <w:rPr>
          <w:lang w:val="bg-BG"/>
        </w:rPr>
      </w:r>
    </w:p>
    <w:p>
      <w:pPr>
        <w:pStyle w:val="BodyTextIndent2"/>
        <w:rPr>
          <w:lang w:val="bg-BG"/>
        </w:rPr>
      </w:pPr>
      <w:r>
        <w:rPr>
          <w:lang w:val="bg-BG"/>
        </w:rPr>
        <w:t>При провеждане на преглед от ръководството трябва се води протокол, който регистрира разглежданите въпроси, участниците при прегледа и представените за обсъждане материали. Отговорност за издаване и разпространение на протокола от прегледа на ръководството носи Ръководството на дружеството.</w:t>
      </w:r>
    </w:p>
    <w:p>
      <w:pPr>
        <w:pStyle w:val="BodyTextIndent2"/>
        <w:rPr>
          <w:lang w:val="bg-BG"/>
        </w:rPr>
      </w:pPr>
      <w:r>
        <w:rPr>
          <w:lang w:val="bg-BG"/>
        </w:rPr>
        <w:t>Протоколите за прегледа от ръководството на системата са достъпни за подложените на преглед звена и за всички заинтересовани. Те се съхраняват в работния архив на Представителя на ръководството за срок, не по-малък от три години.</w:t>
      </w:r>
    </w:p>
    <w:p>
      <w:pPr>
        <w:pStyle w:val="BodyTextIndent2"/>
        <w:rPr>
          <w:lang w:val="bg-BG"/>
        </w:rPr>
      </w:pPr>
      <w:r>
        <w:rPr>
          <w:lang w:val="bg-BG"/>
        </w:rPr>
      </w:r>
    </w:p>
    <w:p>
      <w:pPr>
        <w:pStyle w:val="BodyTextIndent2"/>
        <w:rPr/>
      </w:pPr>
      <w:r>
        <w:rPr>
          <w:b/>
          <w:bCs/>
          <w:lang w:val="bg-BG"/>
        </w:rPr>
        <w:t xml:space="preserve"> </w:t>
      </w:r>
      <w:r>
        <w:rPr>
          <w:b/>
          <w:bCs/>
          <w:lang w:val="bg-BG"/>
        </w:rPr>
        <w:t>Д</w:t>
      </w:r>
      <w:r>
        <w:rPr/>
        <w:t>окументи по темата</w:t>
      </w:r>
    </w:p>
    <w:tbl>
      <w:tblPr>
        <w:tblW w:w="9142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536"/>
        <w:gridCol w:w="4606"/>
      </w:tblGrid>
      <w:tr>
        <w:trPr/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2"/>
              <w:rPr>
                <w:lang w:val="bg-BG"/>
              </w:rPr>
            </w:pPr>
            <w:r>
              <w:rPr>
                <w:lang w:val="bg-BG"/>
              </w:rPr>
              <w:t>ОП2-01 Отговорност на ръководството</w:t>
            </w:r>
          </w:p>
        </w:tc>
        <w:tc>
          <w:tcPr>
            <w:tcW w:w="4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2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645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4"/>
        <w:gridCol w:w="4541"/>
      </w:tblGrid>
      <w:tr>
        <w:trPr/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Изготвил:,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  <w:lang w:val="bg-BG"/>
              </w:rPr>
            </w:pPr>
            <w:r>
              <w:rPr>
                <w:b w:val="false"/>
                <w:sz w:val="22"/>
                <w:lang w:val="bg-BG"/>
              </w:rPr>
              <w:t>Утвърдил:, ……………</w:t>
            </w:r>
          </w:p>
        </w:tc>
      </w:tr>
      <w:tr>
        <w:trPr/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19.01.2021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sz w:val="22"/>
                <w:lang w:val="bg-BG"/>
              </w:rPr>
              <w:t>Дата: 19.01.2021 г.</w:t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20" w:top="2410" w:footer="720" w:bottom="170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850"/>
      <w:gridCol w:w="3024"/>
      <w:gridCol w:w="2338"/>
    </w:tblGrid>
    <w:tr>
      <w:trPr>
        <w:cantSplit/>
      </w:trPr>
      <w:tc>
        <w:tcPr>
          <w:tcW w:w="385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en-US"/>
            </w:rPr>
          </w:pPr>
          <w:r>
            <w:rPr>
              <w:b w:val="false"/>
              <w:sz w:val="20"/>
              <w:lang w:val="en-US"/>
            </w:rPr>
          </w:r>
        </w:p>
      </w:tc>
      <w:tc>
        <w:tcPr>
          <w:tcW w:w="3024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b w:val="false"/>
              <w:sz w:val="20"/>
              <w:lang w:val="en-US"/>
            </w:rPr>
          </w:pPr>
          <w:r>
            <w:rPr>
              <w:b w:val="false"/>
              <w:sz w:val="20"/>
              <w:lang w:val="en-US"/>
            </w:rPr>
          </w:r>
        </w:p>
      </w:tc>
      <w:tc>
        <w:tcPr>
          <w:tcW w:w="2338" w:type="dxa"/>
          <w:tcBorders>
            <w:top w:val="single" w:sz="6" w:space="0" w:color="000000"/>
          </w:tcBorders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10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rStyle w:val="PageNumber"/>
              <w:b/>
              <w:sz w:val="20"/>
              <w:lang w:val="bg-BG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10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cantSplit/>
      </w:trPr>
      <w:tc>
        <w:tcPr>
          <w:tcW w:w="3850" w:type="dxa"/>
          <w:tcBorders/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Ревизия 01</w:t>
          </w:r>
        </w:p>
      </w:tc>
      <w:tc>
        <w:tcPr>
          <w:tcW w:w="3024" w:type="dxa"/>
          <w:tcBorders/>
        </w:tcPr>
        <w:p>
          <w:pPr>
            <w:pStyle w:val="Footer"/>
            <w:snapToGrid w:val="false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</w:r>
        </w:p>
      </w:tc>
      <w:tc>
        <w:tcPr>
          <w:tcW w:w="2338" w:type="dxa"/>
          <w:tcBorders/>
        </w:tcPr>
        <w:p>
          <w:pPr>
            <w:pStyle w:val="Footer"/>
            <w:rPr/>
          </w:pPr>
          <w:r>
            <w:rPr>
              <w:b w:val="false"/>
              <w:sz w:val="20"/>
              <w:lang w:val="bg-BG"/>
            </w:rPr>
            <w:t>Дата</w:t>
          </w:r>
          <w:r>
            <w:rPr>
              <w:b w:val="false"/>
              <w:sz w:val="20"/>
            </w:rPr>
            <w:t>:</w:t>
          </w:r>
          <w:r>
            <w:rPr>
              <w:b w:val="false"/>
              <w:sz w:val="20"/>
              <w:lang w:val="bg-BG"/>
            </w:rPr>
            <w:t xml:space="preserve"> 12.01.2026г.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162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385"/>
      <w:gridCol w:w="5315"/>
      <w:gridCol w:w="1462"/>
    </w:tblGrid>
    <w:tr>
      <w:trPr>
        <w:trHeight w:val="723" w:hRule="exact"/>
      </w:trPr>
      <w:tc>
        <w:tcPr>
          <w:tcW w:w="2385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rFonts w:cs="Arial"/>
              <w:szCs w:val="24"/>
              <w:lang w:val="bg-BG"/>
            </w:rPr>
            <w:t>СМП ПЛЕВЕН ЕООД</w:t>
          </w:r>
        </w:p>
      </w:tc>
      <w:tc>
        <w:tcPr>
          <w:tcW w:w="531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bg-BG"/>
            </w:rPr>
          </w:pPr>
          <w:r>
            <w:rPr>
              <w:sz w:val="28"/>
              <w:lang w:val="bg-BG"/>
            </w:rPr>
            <w:t>Наръчник</w:t>
          </w:r>
        </w:p>
      </w:tc>
      <w:tc>
        <w:tcPr>
          <w:tcW w:w="1462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 w:val="false"/>
              <w:lang w:val="bg-BG"/>
            </w:rPr>
            <w:t>док.</w:t>
          </w:r>
          <w:r>
            <w:rPr>
              <w:b w:val="false"/>
              <w:lang w:val="en-US"/>
            </w:rPr>
            <w:t xml:space="preserve"> </w:t>
          </w:r>
          <w:r>
            <w:rPr>
              <w:b w:val="false"/>
              <w:lang w:val="bg-BG"/>
            </w:rPr>
            <w:t>ном</w:t>
          </w:r>
          <w:r>
            <w:rPr>
              <w:b w:val="false"/>
            </w:rPr>
            <w:t>:</w:t>
          </w:r>
        </w:p>
        <w:p>
          <w:pPr>
            <w:pStyle w:val="Normal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  <w:t>ИН2</w:t>
          </w:r>
        </w:p>
      </w:tc>
    </w:tr>
    <w:tr>
      <w:trPr>
        <w:trHeight w:val="672" w:hRule="exact"/>
      </w:trPr>
      <w:tc>
        <w:tcPr>
          <w:tcW w:w="2385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lang w:val="bg-BG"/>
            </w:rPr>
          </w:pPr>
          <w:r>
            <w:rPr>
              <w:b w:val="false"/>
              <w:lang w:val="bg-BG"/>
            </w:rPr>
          </w:r>
        </w:p>
      </w:tc>
      <w:tc>
        <w:tcPr>
          <w:tcW w:w="531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sz w:val="28"/>
              <w:lang w:val="bg-BG"/>
            </w:rPr>
          </w:pPr>
          <w:r>
            <w:rPr>
              <w:sz w:val="28"/>
              <w:lang w:val="bg-BG"/>
            </w:rPr>
            <w:t>Лидерство</w:t>
          </w:r>
        </w:p>
      </w:tc>
      <w:tc>
        <w:tcPr>
          <w:tcW w:w="1462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b w:val="false"/>
              <w:sz w:val="28"/>
              <w:lang w:val="bg-BG"/>
            </w:rPr>
          </w:pPr>
          <w:r>
            <w:rPr>
              <w:b w:val="false"/>
              <w:sz w:val="28"/>
              <w:lang w:val="bg-BG"/>
            </w:rPr>
          </w:r>
        </w:p>
      </w:tc>
    </w:tr>
  </w:tbl>
  <w:p>
    <w:pPr>
      <w:pStyle w:val="Header"/>
      <w:tabs>
        <w:tab w:val="clear" w:pos="4536"/>
        <w:tab w:val="clear" w:pos="9072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  <w:color w:val="00000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1571"/>
        </w:tabs>
        <w:ind w:start="1571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21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1134" w:leader="none"/>
      </w:tabs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1134" w:leader="none"/>
      </w:tabs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1134" w:leader="none"/>
      </w:tabs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left" w:pos="1134" w:leader="none"/>
      </w:tabs>
      <w:spacing w:before="240" w:after="60"/>
      <w:outlineLvl w:val="3"/>
    </w:pPr>
    <w:rPr>
      <w:bCs/>
      <w:sz w:val="28"/>
      <w:szCs w:val="2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sz w:val="16"/>
    </w:rPr>
  </w:style>
  <w:style w:type="character" w:styleId="WW8Num2z1">
    <w:name w:val="WW8Num2z1"/>
    <w:qFormat/>
    <w:rPr>
      <w:rFonts w:ascii="Symbol" w:hAnsi="Symbol" w:cs="Symbol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4">
    <w:name w:val="WW8Num2z4"/>
    <w:qFormat/>
    <w:rPr>
      <w:rFonts w:ascii="Courier New" w:hAnsi="Courier New" w:cs="Courier New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8z1">
    <w:name w:val="WW8Num8z1"/>
    <w:qFormat/>
    <w:rPr>
      <w:rFonts w:ascii="Symbol" w:hAnsi="Symbol" w:cs="Symbol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4">
    <w:name w:val="WW8Num8z4"/>
    <w:qFormat/>
    <w:rPr>
      <w:rFonts w:ascii="Courier New" w:hAnsi="Courier New" w:cs="Courier New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  <w:color w:val="000000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odyTextIndent2Char">
    <w:name w:val="Body Text Indent 2 Char"/>
    <w:qFormat/>
    <w:rPr>
      <w:rFonts w:ascii="Arial" w:hAnsi="Arial" w:cs="Arial"/>
      <w:sz w:val="22"/>
      <w:lang w:val="de-DE" w:bidi="he-IL"/>
    </w:rPr>
  </w:style>
  <w:style w:type="paragraph" w:styleId="Style10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"/>
    <w:basedOn w:val="Normal"/>
    <w:qFormat/>
    <w:pPr>
      <w:suppressLineNumbers/>
    </w:pPr>
    <w:rPr>
      <w:rFonts w:cs="Arial"/>
    </w:rPr>
  </w:style>
  <w:style w:type="paragraph" w:styleId="Style12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2">
    <w:name w:val="Body Text Indent 2"/>
    <w:basedOn w:val="Normal"/>
    <w:qFormat/>
    <w:pPr>
      <w:jc w:val="both"/>
    </w:pPr>
    <w:rPr>
      <w:b w:val="false"/>
      <w:sz w:val="22"/>
    </w:rPr>
  </w:style>
  <w:style w:type="paragraph" w:styleId="Kapber81">
    <w:name w:val="Kap_Über81"/>
    <w:basedOn w:val="Normal"/>
    <w:qFormat/>
    <w:pPr/>
    <w:rPr>
      <w:sz w:val="30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2021-01-19T11:54:00Z</dcterms:created>
  <dc:creator>Nikolaj</dc:creator>
  <dc:description/>
  <cp:keywords/>
  <dc:language>bg-BG</dc:language>
  <cp:lastModifiedBy>Георги Георгиев</cp:lastModifiedBy>
  <cp:lastPrinted>2008-03-24T16:09:00Z</cp:lastPrinted>
  <dcterms:modified xsi:type="dcterms:W3CDTF">2026-03-23T17:36:00Z</dcterms:modified>
  <cp:revision>17</cp:revision>
  <dc:subject/>
  <dc:title/>
</cp:coreProperties>
</file>