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lang w:val="ru-RU"/>
        </w:rPr>
      </w:pPr>
      <w:r>
        <w:rPr>
          <w:lang w:val="ru-RU"/>
        </w:rPr>
        <w:t xml:space="preserve">3. </w:t>
      </w:r>
      <w:r>
        <w:rPr>
          <w:lang w:val="bg-BG"/>
        </w:rPr>
        <w:t>Управление на ресурсите</w:t>
      </w:r>
    </w:p>
    <w:p>
      <w:pPr>
        <w:pStyle w:val="Normal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Heading2"/>
        <w:ind w:hanging="0" w:start="0"/>
        <w:rPr>
          <w:lang w:val="ru-RU"/>
        </w:rPr>
      </w:pPr>
      <w:r>
        <w:rPr>
          <w:lang w:val="ru-RU"/>
        </w:rPr>
        <w:t>3.1</w:t>
        <w:tab/>
      </w:r>
      <w:r>
        <w:rPr>
          <w:lang w:val="bg-BG"/>
        </w:rPr>
        <w:t>Осигуряване на ресурсите</w:t>
      </w:r>
    </w:p>
    <w:p>
      <w:pPr>
        <w:pStyle w:val="Kapber91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>Фирменото ръководство предоставя на разположение необходимите ресурси</w:t>
      </w:r>
      <w:r>
        <w:rPr>
          <w:lang w:val="ru-RU"/>
        </w:rPr>
        <w:t xml:space="preserve">, </w:t>
      </w:r>
      <w:r>
        <w:rPr>
          <w:lang w:val="bg-BG"/>
        </w:rPr>
        <w:t>т</w:t>
      </w:r>
      <w:r>
        <w:rPr>
          <w:lang w:val="ru-RU"/>
        </w:rPr>
        <w:t>.</w:t>
      </w:r>
      <w:r>
        <w:rPr>
          <w:lang w:val="bg-BG"/>
        </w:rPr>
        <w:t>е. персонал</w:t>
      </w:r>
      <w:r>
        <w:rPr>
          <w:lang w:val="ru-RU"/>
        </w:rPr>
        <w:t>,</w:t>
      </w:r>
      <w:r>
        <w:rPr>
          <w:lang w:val="bg-BG"/>
        </w:rPr>
        <w:t xml:space="preserve"> информация</w:t>
      </w:r>
      <w:r>
        <w:rPr>
          <w:lang w:val="ru-RU"/>
        </w:rPr>
        <w:t xml:space="preserve">, </w:t>
      </w:r>
      <w:r>
        <w:rPr>
          <w:lang w:val="bg-BG"/>
        </w:rPr>
        <w:t>инфраструктура и подходяща трудова среда</w:t>
      </w:r>
      <w:r>
        <w:rPr>
          <w:lang w:val="ru-RU"/>
        </w:rPr>
        <w:t xml:space="preserve">, </w:t>
      </w:r>
      <w:r>
        <w:rPr>
          <w:lang w:val="bg-BG"/>
        </w:rPr>
        <w:t>които са необходими за всички важни и свързани с внедряването и подобрение на СУ и постоянно подобряване на ефективността на качеството</w:t>
      </w:r>
      <w:r>
        <w:rPr>
          <w:lang w:val="ru-RU"/>
        </w:rPr>
        <w:t xml:space="preserve">, </w:t>
      </w:r>
      <w:r>
        <w:rPr>
          <w:lang w:val="bg-BG"/>
        </w:rPr>
        <w:t>опазването на околната среда - необходими фази за развитие на дейността</w:t>
      </w:r>
      <w:r>
        <w:rPr>
          <w:lang w:val="ru-RU"/>
        </w:rPr>
        <w:t xml:space="preserve">. </w:t>
      </w:r>
      <w:r>
        <w:rPr>
          <w:lang w:val="bg-BG"/>
        </w:rPr>
        <w:t xml:space="preserve">Това гарантира функционираща система за управление и постоянното и подобряване с цел изпълнение на изискванията към продукта и постигане на удовлетвореност на клиента, чрез изпълнение на изискванията му. </w:t>
      </w:r>
    </w:p>
    <w:p>
      <w:pPr>
        <w:pStyle w:val="Normal"/>
        <w:ind w:firstLine="708" w:end="0"/>
        <w:jc w:val="both"/>
        <w:rPr/>
      </w:pPr>
      <w:r>
        <w:rPr>
          <w:b w:val="false"/>
          <w:sz w:val="22"/>
          <w:lang w:val="bg-BG"/>
        </w:rPr>
        <w:t>Осигуряването на ресурсите се извършва съобразно планираните дейности по осигуряване на качеството и постигане на резултатност по отношение на ЗБР. Необходимостта от осигуряване на определени ресурси се оценява въз основа на следните фактори:</w:t>
      </w:r>
    </w:p>
    <w:p>
      <w:pPr>
        <w:pStyle w:val="Normal"/>
        <w:widowControl/>
        <w:numPr>
          <w:ilvl w:val="0"/>
          <w:numId w:val="4"/>
        </w:numPr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отчитане на необходимите средства и материали за изпълнение на заявените поръчки;</w:t>
      </w:r>
    </w:p>
    <w:p>
      <w:pPr>
        <w:pStyle w:val="Normal"/>
        <w:widowControl/>
        <w:numPr>
          <w:ilvl w:val="0"/>
          <w:numId w:val="4"/>
        </w:numPr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планиране на ресурсите, необходими за подобрение на процесите от Интегрираната система за управление.</w:t>
      </w:r>
    </w:p>
    <w:p>
      <w:pPr>
        <w:pStyle w:val="BodyTextIndent"/>
        <w:ind w:firstLine="708" w:start="0" w:end="0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 xml:space="preserve">Планирането на ресурсите е свързано с наемането на високо квалифицирани служители, осигуряване на необходимите финансови и технически  средства, подобряване на инфраструктурата и работната среда. </w:t>
      </w:r>
    </w:p>
    <w:p>
      <w:pPr>
        <w:pStyle w:val="BodyTextIndent"/>
        <w:ind w:firstLine="708" w:start="0" w:end="0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Kapber91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Heading2"/>
        <w:ind w:hanging="0" w:start="0"/>
        <w:rPr>
          <w:lang w:val="ru-RU"/>
        </w:rPr>
      </w:pPr>
      <w:r>
        <w:rPr>
          <w:lang w:val="en-US"/>
        </w:rPr>
        <w:t>3</w:t>
      </w:r>
      <w:r>
        <w:rPr>
          <w:lang w:val="ru-RU"/>
        </w:rPr>
        <w:t>.2</w:t>
        <w:tab/>
      </w:r>
      <w:r>
        <w:rPr>
          <w:lang w:val="bg-BG"/>
        </w:rPr>
        <w:t>Човешки ресурси</w:t>
      </w:r>
    </w:p>
    <w:p>
      <w:pPr>
        <w:pStyle w:val="Kapber91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Indent2"/>
        <w:tabs>
          <w:tab w:val="clear" w:pos="708"/>
          <w:tab w:val="left" w:pos="2268" w:leader="none"/>
        </w:tabs>
        <w:rPr>
          <w:lang w:val="bg-BG"/>
        </w:rPr>
      </w:pPr>
      <w:r>
        <w:rPr>
          <w:lang w:val="ru-RU"/>
        </w:rPr>
        <w:t xml:space="preserve">            </w:t>
      </w:r>
      <w:r>
        <w:rPr>
          <w:lang w:val="bg-BG"/>
        </w:rPr>
        <w:t>Персоналът в СМП ПЛЕВЕН ЕООД е подбран в зависимост от образование, квалификация, умения и опит. За различните участъци във фирмата се използва различен подход при подбора на кадрите. Целта е постоянното подобряване на съответствието с изискванията на продукта в следствие на високата квалификация и умения на персонала.</w:t>
      </w:r>
    </w:p>
    <w:p>
      <w:pPr>
        <w:pStyle w:val="BodyTextIndent2"/>
        <w:tabs>
          <w:tab w:val="clear" w:pos="708"/>
          <w:tab w:val="left" w:pos="2268" w:leader="none"/>
        </w:tabs>
        <w:rPr/>
      </w:pPr>
      <w:r>
        <w:rPr>
          <w:lang w:val="bg-BG"/>
        </w:rPr>
        <w:t xml:space="preserve">           </w:t>
      </w:r>
      <w:r>
        <w:rPr>
          <w:lang w:val="bg-BG"/>
        </w:rPr>
        <w:t>Чрез целенасочени учебни мероприятия и наставления в цялото предприятие на място се стимулират самосъзнанието и чувството за опазване здравето и безопасността при работа както и</w:t>
      </w:r>
      <w:r>
        <w:rPr>
          <w:lang w:val="ru-RU"/>
        </w:rPr>
        <w:t xml:space="preserve"> </w:t>
      </w:r>
      <w:r>
        <w:rPr>
          <w:lang w:val="bg-BG"/>
        </w:rPr>
        <w:t>професионалната квалификация</w:t>
      </w:r>
      <w:r>
        <w:rPr>
          <w:lang w:val="ru-RU"/>
        </w:rPr>
        <w:t xml:space="preserve">, </w:t>
      </w:r>
      <w:r>
        <w:rPr>
          <w:lang w:val="bg-BG"/>
        </w:rPr>
        <w:t>мотивация и комуникация</w:t>
      </w:r>
      <w:r>
        <w:rPr>
          <w:lang w:val="ru-RU"/>
        </w:rPr>
        <w:t xml:space="preserve">. Сред целия персонал се осигуряват условия за осъзнаване на значението на дейностите, които се изпълняват и да допринасят за постигане целите по ЗБР. </w:t>
      </w:r>
      <w:r>
        <w:rPr>
          <w:lang w:val="bg-BG"/>
        </w:rPr>
        <w:t>Наред с това се осъществява и постоянен диалог между нашите сътрудници</w:t>
      </w:r>
      <w:r>
        <w:rPr>
          <w:lang w:val="ru-RU"/>
        </w:rPr>
        <w:t>.</w:t>
      </w:r>
    </w:p>
    <w:p>
      <w:pPr>
        <w:pStyle w:val="BodyTextIndent2"/>
        <w:ind w:firstLine="708" w:end="0"/>
        <w:rPr>
          <w:lang w:val="ru-RU"/>
        </w:rPr>
      </w:pPr>
      <w:r>
        <w:rPr>
          <w:lang w:val="bg-BG"/>
        </w:rPr>
        <w:t>Гарантира се, че всички сътрудници разполагат с необходимата компетентност на базата на съответното образование и обучение, както и умения и опит, за което се поддържат подходящи записи</w:t>
      </w:r>
      <w:r>
        <w:rPr>
          <w:lang w:val="ru-RU"/>
        </w:rPr>
        <w:t xml:space="preserve">. </w:t>
      </w:r>
      <w:r>
        <w:rPr>
          <w:lang w:val="bg-BG"/>
        </w:rPr>
        <w:t>Сътрудниците се назначават съобразно техните способности и квалификации</w:t>
      </w:r>
      <w:r>
        <w:rPr>
          <w:lang w:val="ru-RU"/>
        </w:rPr>
        <w:t xml:space="preserve">. </w:t>
      </w:r>
      <w:r>
        <w:rPr>
          <w:lang w:val="bg-BG"/>
        </w:rPr>
        <w:t>При въвеждане на системата бе направен преглед на притежаваните квалификации</w:t>
      </w:r>
      <w:r>
        <w:rPr>
          <w:lang w:val="ru-RU"/>
        </w:rPr>
        <w:t xml:space="preserve">. </w:t>
      </w:r>
      <w:r>
        <w:rPr>
          <w:lang w:val="bg-BG"/>
        </w:rPr>
        <w:t>Този обзор е основата за проучване на необходимостта от обучителни мероприятия и планиране на персонала</w:t>
      </w:r>
      <w:r>
        <w:rPr>
          <w:lang w:val="ru-RU"/>
        </w:rPr>
        <w:t xml:space="preserve">, </w:t>
      </w:r>
      <w:r>
        <w:rPr>
          <w:lang w:val="bg-BG"/>
        </w:rPr>
        <w:t xml:space="preserve">непрекъснато се актуализира и по такъв начин представлява базата на </w:t>
      </w:r>
      <w:r>
        <w:rPr>
          <w:color w:val="000000"/>
          <w:lang w:val="bg-BG"/>
        </w:rPr>
        <w:t>обучителния план</w:t>
      </w:r>
      <w:r>
        <w:rPr>
          <w:color w:val="000000"/>
          <w:lang w:val="ru-RU"/>
        </w:rPr>
        <w:t>.</w:t>
      </w:r>
      <w:r>
        <w:rPr>
          <w:lang w:val="ru-RU"/>
        </w:rPr>
        <w:t xml:space="preserve"> </w:t>
      </w:r>
      <w:r>
        <w:rPr>
          <w:lang w:val="bg-BG"/>
        </w:rPr>
        <w:t>Проучването на компетенциите и извличането на потребностите от обучение служат за допълване на пропуските в областта на квалификациите и знанията</w:t>
      </w:r>
      <w:r>
        <w:rPr>
          <w:lang w:val="ru-RU"/>
        </w:rPr>
        <w:t xml:space="preserve">. </w:t>
      </w:r>
      <w:r>
        <w:rPr>
          <w:lang w:val="bg-BG"/>
        </w:rPr>
        <w:t xml:space="preserve">Вземат се под внимание всички допълнителни квалификации и успехът от обучението. </w:t>
      </w:r>
    </w:p>
    <w:p>
      <w:pPr>
        <w:pStyle w:val="BodyTextIndent"/>
        <w:ind w:firstLine="708" w:start="0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BodyTextIndent"/>
        <w:ind w:firstLine="708" w:start="0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Необходимост от обучение възниква при:</w:t>
      </w:r>
    </w:p>
    <w:p>
      <w:pPr>
        <w:pStyle w:val="BodyTextIndent"/>
        <w:widowControl/>
        <w:numPr>
          <w:ilvl w:val="0"/>
          <w:numId w:val="3"/>
        </w:numPr>
        <w:spacing w:before="0" w:after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внедряване на изменение на процедури по ЗБР;</w:t>
      </w:r>
    </w:p>
    <w:p>
      <w:pPr>
        <w:pStyle w:val="BodyTextIndent"/>
        <w:widowControl/>
        <w:numPr>
          <w:ilvl w:val="0"/>
          <w:numId w:val="3"/>
        </w:numPr>
        <w:spacing w:before="0" w:after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преквалифициране на персонала;</w:t>
      </w:r>
    </w:p>
    <w:p>
      <w:pPr>
        <w:pStyle w:val="BodyTextIndent"/>
        <w:widowControl/>
        <w:numPr>
          <w:ilvl w:val="0"/>
          <w:numId w:val="3"/>
        </w:numPr>
        <w:spacing w:before="0" w:after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наемане на нови специалисти;</w:t>
      </w:r>
    </w:p>
    <w:p>
      <w:pPr>
        <w:pStyle w:val="BodyTextIndent"/>
        <w:widowControl/>
        <w:numPr>
          <w:ilvl w:val="0"/>
          <w:numId w:val="3"/>
        </w:numPr>
        <w:spacing w:before="0" w:after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закупуване на ново оборудване.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>При осъществяване на прегледа от ръководството се прави обобщение на оценките на проведените обучения и се анализира значението им за повишаване на общата ефикасност и ефективност на функциониране на дружеството - формуляр „Оценка на обучението“ . Използва се петобална система за оценка на обучението.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>Подборът на персонала в производството е въз основа на завършено техническо образование. Подобряване на квалификацията се извършва в процеса на работа. Първоначално работникът започва с най-леките и несложни задачи под наблюдението на висококвалифициран работник. В зависимост от способността на дадения работник бързо да възприема и качествено да изпълнява поставената задача, се определя колко по-сложно задание да му бъде поставено. Ние използваме индивидуален подход към всеки един работник. Оценявайки комплексно качествата на  работниците, в зависимост от умение, образование, възприемане на обучението и с натрупване на опит, постигаме пълна заменяемост на работниците в даден производствен участък. В процеса на работа сме установили и оценили ефикасността на този подход.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>Присъствията на служителите на фирмата се отчитат ежедневно от преките им ръководители, в разработени бланки, съгласно трудовото законодателство.</w:t>
      </w:r>
    </w:p>
    <w:p>
      <w:pPr>
        <w:pStyle w:val="BodyTextIndent2"/>
        <w:ind w:firstLine="708" w:end="0"/>
        <w:rPr>
          <w:b/>
          <w:bCs/>
          <w:lang w:val="bg-BG"/>
        </w:rPr>
      </w:pPr>
      <w:r>
        <w:rPr>
          <w:lang w:val="bg-BG"/>
        </w:rPr>
        <w:t>В сферата на безопасността на труда се изготвят насоки за сигурността –съответната информация и целенасочени поучения и инструкции. Инструкциите по безопасност се провеждат под формата на обучение и провеждането на мероприятия по безопасност заедно с отговорните лица. Всички сътрудници се инструктират с встъпителни и периодични инструктажи, което се документира в книги за инструктаж.</w:t>
      </w:r>
    </w:p>
    <w:p>
      <w:pPr>
        <w:pStyle w:val="BodyTextIndent2"/>
        <w:rPr/>
      </w:pPr>
      <w:r>
        <w:rPr/>
        <w:t>Придружителни документи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rPr/>
            </w:pPr>
            <w:r>
              <w:rPr/>
              <w:t>OP</w:t>
            </w:r>
            <w:r>
              <w:rPr>
                <w:lang w:val="bg-BG"/>
              </w:rPr>
              <w:t>3-01 Управление на персонала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rPr>
                <w:lang w:val="bg-BG"/>
              </w:rPr>
            </w:pPr>
            <w:r>
              <w:rPr/>
              <w:t>F</w:t>
            </w:r>
            <w:r>
              <w:rPr>
                <w:lang w:val="bg-BG"/>
              </w:rPr>
              <w:t>3-01 Годишна програма за обучение през 20…..г.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rPr/>
            </w:pPr>
            <w:r>
              <w:rPr/>
              <w:t>F</w:t>
            </w:r>
            <w:r>
              <w:rPr>
                <w:lang w:val="bg-BG"/>
              </w:rPr>
              <w:t>2-0</w:t>
            </w:r>
            <w:r>
              <w:rPr>
                <w:lang w:val="en-US"/>
              </w:rPr>
              <w:t>1</w:t>
            </w:r>
            <w:r>
              <w:rPr>
                <w:lang w:val="bg-BG"/>
              </w:rPr>
              <w:t xml:space="preserve"> Органиграма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snapToGrid w:val="false"/>
              <w:rPr>
                <w:b w:val="false"/>
                <w:lang w:val="bg-BG"/>
              </w:rPr>
            </w:pPr>
            <w:r>
              <w:rPr>
                <w:b w:val="false"/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rPr/>
            </w:pPr>
            <w:r>
              <w:rPr/>
              <w:t>F</w:t>
            </w:r>
            <w:r>
              <w:rPr>
                <w:lang w:val="bg-BG"/>
              </w:rPr>
              <w:t>2-0</w:t>
            </w:r>
            <w:r>
              <w:rPr>
                <w:lang w:val="en-US"/>
              </w:rPr>
              <w:t>2</w:t>
            </w:r>
            <w:r>
              <w:rPr>
                <w:lang w:val="bg-BG"/>
              </w:rPr>
              <w:t xml:space="preserve"> Матрица с отговорностите</w:t>
            </w:r>
          </w:p>
        </w:tc>
      </w:tr>
    </w:tbl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Heading2"/>
        <w:ind w:hanging="0" w:start="0"/>
        <w:rPr/>
      </w:pPr>
      <w:r>
        <w:rPr>
          <w:lang w:val="bg-BG"/>
        </w:rPr>
        <w:t>3.3</w:t>
        <w:tab/>
        <w:t>Инфраструктура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 xml:space="preserve">За гарантиране качеството на продукцията, във фирмата се намира, подготвя, приспособява и поддържа необходимата инфраструктура (сгради, захранващи съоръжения, хардуер и софтуер, транспортни и комуникационни съоръжения) и работна среда с цел постигане на съответствие с изискванията към продукта.  </w:t>
      </w:r>
    </w:p>
    <w:p>
      <w:pPr>
        <w:pStyle w:val="BodyTextIndent2"/>
        <w:rPr>
          <w:lang w:val="bg-BG"/>
        </w:rPr>
      </w:pPr>
      <w:r>
        <w:rPr>
          <w:lang w:val="bg-BG"/>
        </w:rPr>
        <w:t>Инфраструктурата е основата за осъществяване на дейността на СМП ПЛЕВЕН ЕООД. Тя е напълно съобразена с функционирането и постигането на целите по качеството на фирмата. Фирмата разполага с нужните софтуерни продукти, подпомагащи дейността, които се предоставят от производителите на използваното оборудване.</w:t>
      </w:r>
    </w:p>
    <w:p>
      <w:pPr>
        <w:pStyle w:val="Normal"/>
        <w:spacing w:before="60" w:after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Ръководството е осигурило необходимите за изпълнение на основните процеси производствено помещение, складово помещение, оборудване и съоръжения, автотранспорт, хардуер и софтуер, комуникационни системи, които се използват по предназначение за осъществяване на процесите в СМП ПЛЕВЕН ЕООД.</w:t>
      </w:r>
    </w:p>
    <w:p>
      <w:pPr>
        <w:pStyle w:val="Normal"/>
        <w:spacing w:before="60" w:after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Наличната инфраструктура е осигурена съобразно целите и функционирането, предпазването и безопасността в организацията. </w:t>
      </w:r>
    </w:p>
    <w:p>
      <w:pPr>
        <w:pStyle w:val="Normal"/>
        <w:spacing w:before="60" w:after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Стриктно се контролира достъпът до производствената база и офиса на фирмата. Имуществото на дружеството се охранява непрекъснато, като пазачите следят и за състоянието на сградите, осветлението, сигурността, складираните материали и тревните площи на територията на фирмата. </w:t>
      </w:r>
    </w:p>
    <w:p>
      <w:pPr>
        <w:pStyle w:val="BodyTextIndent2"/>
        <w:rPr>
          <w:rFonts w:cs="Arial"/>
          <w:b/>
          <w:sz w:val="28"/>
          <w:szCs w:val="28"/>
          <w:lang w:val="bg-BG"/>
        </w:rPr>
      </w:pPr>
      <w:r>
        <w:rPr>
          <w:rFonts w:cs="Arial"/>
          <w:b/>
          <w:sz w:val="28"/>
          <w:szCs w:val="28"/>
          <w:lang w:val="bg-BG"/>
        </w:rPr>
      </w:r>
    </w:p>
    <w:p>
      <w:pPr>
        <w:pStyle w:val="BodyTextIndent2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3.4</w:t>
        <w:tab/>
        <w:t xml:space="preserve"> Заобикаляща среда</w:t>
      </w:r>
    </w:p>
    <w:p>
      <w:pPr>
        <w:pStyle w:val="BodyTextIndent2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>Заобикалящата среда, като комбинация от човешки и физически фактори, влияе върху мотивацията и удовлетвореността на служителите и върху цялостното функциониране на системата за управление. Ръководството на фирма СМП ПЛЕВЕН ЕООД се стреми да осигури на своите служители оптимална комбинация от тези фактори, с оглед постигане на целите по качество в съответствие с изискванията на  ISO 45001:2018.</w:t>
      </w:r>
    </w:p>
    <w:p>
      <w:pPr>
        <w:pStyle w:val="BodyTextIndent2"/>
        <w:ind w:firstLine="708" w:end="0"/>
        <w:rPr/>
      </w:pPr>
      <w:r>
        <w:rPr>
          <w:lang w:val="bg-BG"/>
        </w:rPr>
        <w:t>При започване на извършваната дейност на фирмата са изпълнени всички изисквания на нормативните документи, свързани с противопожарната безопасност и охраната на труда и са получени необходимите разрешения.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>Всички служители при постъпването им, а в последствие през определен интервал от време преминават инструктаж по въпросите, свързани с противопожарната безопасност и охраната на труда, което удостоверяват с подписа си в Книга за начален и периодичен инструктаж.</w:t>
      </w:r>
    </w:p>
    <w:p>
      <w:pPr>
        <w:pStyle w:val="BodyTextIndent2"/>
        <w:ind w:firstLine="708" w:end="0"/>
        <w:rPr/>
      </w:pPr>
      <w:r>
        <w:rPr>
          <w:lang w:val="bg-BG"/>
        </w:rPr>
        <w:t>Висшето ръководство на фирмата е осигурило на своите служители здравословни условия на труд. Служителите получават работно облекло, както и лични предпазни средства, по предписание на СТМ. Осигурено е и поддържането на хигиената в помещенията, като е назначен помощен персонал. Висшето ръководство се стреми да поддържа дружелюбен микроклимат във фирмата, без наличие на негативни социални и психологически фактори, посредством: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Адекватно заплащане за добро изпълнение на поставените задачи и постигнатите резултати;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Ангажирана към качеството и околната среда работа;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Осигуряване на възможности за повишаване на квалификацията чрез обучение във фирмата или посредством участие в семинари, курсове и др.;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Възможност за професионално израстване;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Здравно и пенсионно осигуряване;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Система за поставяне на въпроси от страна на персонала и адекватното им решаване от ръководството;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Планиране подобряването на крайните резултати;</w:t>
      </w:r>
    </w:p>
    <w:p>
      <w:pPr>
        <w:pStyle w:val="BodyTextIndent2"/>
        <w:numPr>
          <w:ilvl w:val="0"/>
          <w:numId w:val="6"/>
        </w:numPr>
        <w:rPr>
          <w:lang w:val="bg-BG"/>
        </w:rPr>
      </w:pPr>
      <w:r>
        <w:rPr>
          <w:lang w:val="bg-BG"/>
        </w:rPr>
        <w:t>Мотивиране на сътрудниците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Heading3"/>
        <w:ind w:hanging="0" w:start="0"/>
        <w:rPr>
          <w:iCs/>
          <w:sz w:val="24"/>
          <w:szCs w:val="24"/>
          <w:lang w:val="bg-BG"/>
        </w:rPr>
      </w:pPr>
      <w:r>
        <w:rPr>
          <w:iCs/>
          <w:sz w:val="24"/>
          <w:szCs w:val="24"/>
          <w:lang w:val="bg-BG"/>
        </w:rPr>
        <w:t>Проучване на опасностите/Оценка на риска</w:t>
      </w:r>
    </w:p>
    <w:p>
      <w:pPr>
        <w:pStyle w:val="Normal"/>
        <w:rPr>
          <w:iCs/>
          <w:sz w:val="24"/>
          <w:szCs w:val="24"/>
          <w:lang w:val="bg-BG"/>
        </w:rPr>
      </w:pPr>
      <w:r>
        <w:rPr>
          <w:iCs/>
          <w:sz w:val="24"/>
          <w:szCs w:val="24"/>
          <w:lang w:val="bg-BG"/>
        </w:rPr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  <w:t xml:space="preserve"> </w:t>
      </w:r>
      <w:r>
        <w:rPr>
          <w:lang w:val="bg-BG"/>
        </w:rPr>
        <w:t>Изготвена е оценка на риска по работни места съгласно Наредба № 5. от 11.05.1999 г. (ДВ бр. 47/1999 г.)</w:t>
      </w:r>
    </w:p>
    <w:p>
      <w:pPr>
        <w:pStyle w:val="Header"/>
        <w:tabs>
          <w:tab w:val="clear" w:pos="4536"/>
          <w:tab w:val="left" w:pos="9072" w:leader="none"/>
        </w:tabs>
        <w:jc w:val="both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  <w:t xml:space="preserve">            </w:t>
      </w:r>
      <w:r>
        <w:rPr>
          <w:b w:val="false"/>
          <w:bCs/>
          <w:iCs/>
          <w:sz w:val="22"/>
          <w:lang w:val="bg-BG"/>
        </w:rPr>
        <w:t>Чрез оценка на условията на труд се проучва застрашеността на сътрудниците, а тя може да се породи най-вече от:</w:t>
      </w:r>
    </w:p>
    <w:p>
      <w:pPr>
        <w:pStyle w:val="Header"/>
        <w:numPr>
          <w:ilvl w:val="0"/>
          <w:numId w:val="5"/>
        </w:numPr>
        <w:tabs>
          <w:tab w:val="clear" w:pos="4536"/>
          <w:tab w:val="left" w:pos="1068" w:leader="none"/>
          <w:tab w:val="left" w:pos="1348" w:leader="none"/>
          <w:tab w:val="left" w:pos="9072" w:leader="none"/>
        </w:tabs>
        <w:spacing w:before="60" w:after="0"/>
        <w:ind w:hanging="360" w:start="1068" w:end="0"/>
        <w:jc w:val="both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  <w:t>оформянето, изборът и използването на работните средства, най-вече на работните материали, машини, уреди и съоръжения,</w:t>
      </w:r>
    </w:p>
    <w:p>
      <w:pPr>
        <w:pStyle w:val="Header"/>
        <w:numPr>
          <w:ilvl w:val="0"/>
          <w:numId w:val="7"/>
        </w:numPr>
        <w:tabs>
          <w:tab w:val="clear" w:pos="4536"/>
          <w:tab w:val="left" w:pos="1068" w:leader="none"/>
          <w:tab w:val="left" w:pos="1348" w:leader="none"/>
          <w:tab w:val="left" w:pos="9072" w:leader="none"/>
        </w:tabs>
        <w:spacing w:before="60" w:after="0"/>
        <w:ind w:hanging="360" w:start="1068" w:end="0"/>
        <w:jc w:val="both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  <w:t>оформянето на работните методи, процеси и работното време,</w:t>
      </w:r>
    </w:p>
    <w:p>
      <w:pPr>
        <w:pStyle w:val="Header"/>
        <w:numPr>
          <w:ilvl w:val="0"/>
          <w:numId w:val="2"/>
        </w:numPr>
        <w:tabs>
          <w:tab w:val="clear" w:pos="4536"/>
          <w:tab w:val="left" w:pos="1068" w:leader="none"/>
          <w:tab w:val="left" w:pos="1348" w:leader="none"/>
          <w:tab w:val="left" w:pos="9072" w:leader="none"/>
        </w:tabs>
        <w:spacing w:before="60" w:after="0"/>
        <w:ind w:hanging="360" w:start="1068" w:end="0"/>
        <w:jc w:val="both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  <w:t>физичните и химични въздействия.</w:t>
      </w:r>
    </w:p>
    <w:p>
      <w:pPr>
        <w:pStyle w:val="Header"/>
        <w:tabs>
          <w:tab w:val="clear" w:pos="4536"/>
          <w:tab w:val="left" w:pos="1348" w:leader="none"/>
          <w:tab w:val="left" w:pos="9072" w:leader="none"/>
        </w:tabs>
        <w:spacing w:before="120" w:after="0"/>
        <w:jc w:val="both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  <w:t xml:space="preserve">             </w:t>
      </w:r>
      <w:r>
        <w:rPr>
          <w:b w:val="false"/>
          <w:bCs/>
          <w:iCs/>
          <w:sz w:val="22"/>
          <w:lang w:val="bg-BG"/>
        </w:rPr>
        <w:t>Проучването на опасностите се планира или провежда с оглед на повода, а резултатите от недостатъците и мероприятията се документират. Контролират се практическото прилагане и въздействието.</w:t>
      </w:r>
    </w:p>
    <w:p>
      <w:pPr>
        <w:pStyle w:val="BodyText"/>
        <w:jc w:val="start"/>
        <w:rPr>
          <w:b w:val="false"/>
          <w:bCs/>
          <w:iCs/>
          <w:sz w:val="22"/>
          <w:lang w:val="bg-BG"/>
        </w:rPr>
      </w:pPr>
      <w:r>
        <w:rPr>
          <w:b w:val="false"/>
          <w:bCs/>
          <w:iCs/>
          <w:sz w:val="22"/>
          <w:lang w:val="bg-BG"/>
        </w:rPr>
      </w:r>
    </w:p>
    <w:p>
      <w:pPr>
        <w:pStyle w:val="BodyText"/>
        <w:jc w:val="start"/>
        <w:rPr/>
      </w:pPr>
      <w:r>
        <w:rPr/>
        <w:t>Съпроводителна документация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en-US"/>
              </w:rPr>
            </w:pPr>
            <w:r>
              <w:rPr>
                <w:b w:val="false"/>
                <w:sz w:val="22"/>
                <w:lang w:val="bg-BG"/>
              </w:rPr>
              <w:t>О</w:t>
            </w:r>
            <w:r>
              <w:rPr>
                <w:b w:val="false"/>
                <w:sz w:val="22"/>
                <w:lang w:val="en-US"/>
              </w:rPr>
              <w:t>P</w:t>
            </w:r>
            <w:r>
              <w:rPr>
                <w:b w:val="false"/>
                <w:sz w:val="22"/>
              </w:rPr>
              <w:t>3-01</w:t>
            </w:r>
            <w:r>
              <w:rPr>
                <w:b w:val="false"/>
                <w:sz w:val="22"/>
                <w:lang w:val="bg-BG"/>
              </w:rPr>
              <w:t xml:space="preserve"> Управление на персонала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</w:tr>
    </w:tbl>
    <w:p>
      <w:pPr>
        <w:pStyle w:val="BodyText"/>
        <w:jc w:val="start"/>
        <w:rPr>
          <w:b w:val="false"/>
          <w:sz w:val="22"/>
          <w:lang w:val="en-US"/>
        </w:rPr>
      </w:pPr>
      <w:r>
        <w:rPr>
          <w:b w:val="false"/>
          <w:sz w:val="22"/>
          <w:lang w:val="en-US"/>
        </w:rPr>
      </w:r>
    </w:p>
    <w:p>
      <w:pPr>
        <w:pStyle w:val="BodyTextIndent2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BodyTextIndent2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3.5</w:t>
      </w:r>
      <w:r>
        <w:rPr>
          <w:b/>
          <w:sz w:val="28"/>
          <w:szCs w:val="28"/>
          <w:lang w:val="en-US"/>
        </w:rPr>
        <w:t xml:space="preserve">    </w:t>
      </w:r>
      <w:r>
        <w:rPr>
          <w:b/>
          <w:sz w:val="28"/>
          <w:szCs w:val="28"/>
          <w:lang w:val="bg-BG"/>
        </w:rPr>
        <w:t>Знания и опит</w:t>
      </w:r>
    </w:p>
    <w:p>
      <w:pPr>
        <w:pStyle w:val="BodyTextIndent2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b w:val="false"/>
          <w:sz w:val="22"/>
          <w:lang w:val="bg-BG"/>
        </w:rPr>
        <w:t xml:space="preserve">Знанията и опитът придобити от </w:t>
      </w:r>
      <w:r>
        <w:rPr>
          <w:sz w:val="22"/>
          <w:lang w:val="bg-BG"/>
        </w:rPr>
        <w:t>СМП ПЛЕВЕН ЕООД</w:t>
      </w:r>
      <w:r>
        <w:rPr>
          <w:b w:val="false"/>
          <w:sz w:val="22"/>
          <w:lang w:val="bg-BG"/>
        </w:rPr>
        <w:t xml:space="preserve"> са специфични за организацията и основно произхождат от предишен опит на организацията и служителите, както и от проучвания на пазара и конкуренцията. Натрупаните знания и опит служат за постигане на поставените цели и водят ръководството към вземане на правилните решения за управлението на дружеството. Други източници на знания и опит биват участието на фирмата в изложения и представяния, проучване изискванията на потребителите, както и от електронните средства за осведомяване за новости в бранша – интернет портали.</w:t>
      </w:r>
    </w:p>
    <w:p>
      <w:pPr>
        <w:pStyle w:val="Normal"/>
        <w:ind w:firstLine="708" w:end="0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Придобитите знания и опит се използват и споделят между служителите, за да бъде възможно постигането на зададените цели и минимизирането на рисковете и неблагоприятните въздействия. Дружеството не е възприело документиране на знанията и опита, освен ако ръководството изрично не наложи това.</w:t>
      </w:r>
    </w:p>
    <w:p>
      <w:pPr>
        <w:pStyle w:val="Normal"/>
        <w:rPr>
          <w:b w:val="false"/>
          <w:sz w:val="22"/>
          <w:lang w:val="en-US"/>
        </w:rPr>
      </w:pPr>
      <w:r>
        <w:rPr>
          <w:b w:val="false"/>
          <w:sz w:val="22"/>
          <w:lang w:val="en-US"/>
        </w:rPr>
      </w:r>
    </w:p>
    <w:tbl>
      <w:tblPr>
        <w:tblW w:w="964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4"/>
        <w:gridCol w:w="4541"/>
      </w:tblGrid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331"/>
      <w:gridCol w:w="3543"/>
      <w:gridCol w:w="2338"/>
    </w:tblGrid>
    <w:tr>
      <w:trPr>
        <w:cantSplit/>
      </w:trPr>
      <w:tc>
        <w:tcPr>
          <w:tcW w:w="3331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3543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Страница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4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4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331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543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 :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62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385"/>
      <w:gridCol w:w="5315"/>
      <w:gridCol w:w="1462"/>
    </w:tblGrid>
    <w:tr>
      <w:trPr>
        <w:trHeight w:val="723" w:hRule="exact"/>
      </w:trPr>
      <w:tc>
        <w:tcPr>
          <w:tcW w:w="2385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1462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док. ном.</w:t>
          </w:r>
          <w:r>
            <w:rPr>
              <w:b w:val="false"/>
            </w:rPr>
            <w:t>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ИН3</w:t>
          </w:r>
        </w:p>
      </w:tc>
    </w:tr>
    <w:tr>
      <w:trPr>
        <w:trHeight w:val="672" w:hRule="exact"/>
      </w:trPr>
      <w:tc>
        <w:tcPr>
          <w:tcW w:w="2385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fr-FR"/>
            </w:rPr>
          </w:pPr>
          <w:r>
            <w:rPr>
              <w:sz w:val="28"/>
              <w:lang w:val="bg-BG"/>
            </w:rPr>
            <w:t>Управление на ресурсите</w:t>
          </w:r>
        </w:p>
      </w:tc>
      <w:tc>
        <w:tcPr>
          <w:tcW w:w="1462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lang w:val="bg-BG"/>
            </w:rPr>
          </w:pPr>
          <w:r>
            <w:rPr>
              <w:b w:val="false"/>
              <w:sz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134" w:leader="none"/>
      </w:tabs>
      <w:outlineLvl w:val="2"/>
    </w:pPr>
    <w:rPr>
      <w:sz w:val="28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jc w:val="both"/>
    </w:pPr>
    <w:rPr>
      <w:b w:val="false"/>
      <w:sz w:val="22"/>
    </w:rPr>
  </w:style>
  <w:style w:type="paragraph" w:styleId="BodyText2">
    <w:name w:val="Body Text 2"/>
    <w:basedOn w:val="Normal"/>
    <w:qFormat/>
    <w:pPr/>
    <w:rPr>
      <w:sz w:val="16"/>
    </w:rPr>
  </w:style>
  <w:style w:type="paragraph" w:styleId="Kapber91">
    <w:name w:val="Kap_Über91"/>
    <w:basedOn w:val="Normal"/>
    <w:qFormat/>
    <w:pPr/>
    <w:rPr>
      <w:sz w:val="3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2021-01-19T12:22:00Z</dcterms:created>
  <dc:creator>Nikolaj</dc:creator>
  <dc:description/>
  <cp:keywords/>
  <dc:language>bg-BG</dc:language>
  <cp:lastModifiedBy>Георги Георгиев</cp:lastModifiedBy>
  <cp:lastPrinted>2007-11-03T10:32:00Z</cp:lastPrinted>
  <dcterms:modified xsi:type="dcterms:W3CDTF">2026-03-23T17:39:00Z</dcterms:modified>
  <cp:revision>10</cp:revision>
  <dc:subject/>
  <dc:title/>
</cp:coreProperties>
</file>