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4.</w:t>
        <w:tab/>
        <w:t xml:space="preserve">Дейности </w:t>
      </w:r>
    </w:p>
    <w:p>
      <w:pPr>
        <w:pStyle w:val="Normal"/>
        <w:rPr/>
      </w:pPr>
      <w:r>
        <w:rPr/>
      </w:r>
    </w:p>
    <w:p>
      <w:pPr>
        <w:pStyle w:val="BodyTextIndent2"/>
        <w:ind w:firstLine="708" w:end="0"/>
        <w:rPr/>
      </w:pPr>
      <w:r>
        <w:rPr/>
        <w:t>Цялостният процес по реализация на продукта и предлагане на услуги се състои от частични и под</w:t>
      </w:r>
      <w:r>
        <w:rPr>
          <w:lang w:val="en-US"/>
        </w:rPr>
        <w:t>-</w:t>
      </w:r>
      <w:r>
        <w:rPr/>
        <w:t xml:space="preserve">процеси, както бе показано в графиката - последователност и взаимодействие между главните и поддържащи процеси. </w:t>
      </w:r>
    </w:p>
    <w:p>
      <w:pPr>
        <w:pStyle w:val="BodyTextIndent2"/>
        <w:ind w:firstLine="708" w:end="0"/>
        <w:rPr/>
      </w:pPr>
      <w:r>
        <w:rPr/>
        <w:t>В този раздел се описват процесите по създаване и реализиране на фирмените продукти. За реализирането на дейността се преминава през процесите на планиране, договаряне с клиента, уточняване параметрите на услугата, закупуване на необходимите материали, изпълнение на услугата, предаване на клиента и съпътстващите ги контрол и управление на средствата за контрол и измерване.</w:t>
      </w:r>
    </w:p>
    <w:p>
      <w:pPr>
        <w:pStyle w:val="BodyText"/>
        <w:jc w:val="start"/>
        <w:rPr>
          <w:b w:val="false"/>
          <w:sz w:val="22"/>
          <w:lang w:val="en-US"/>
        </w:rPr>
      </w:pPr>
      <w:r>
        <w:rPr>
          <w:b w:val="false"/>
          <w:sz w:val="22"/>
          <w:lang w:val="en-US"/>
        </w:rPr>
      </w:r>
    </w:p>
    <w:p>
      <w:pPr>
        <w:pStyle w:val="Heading2"/>
        <w:ind w:hanging="0" w:start="0"/>
        <w:rPr/>
      </w:pPr>
      <w:r>
        <w:rPr/>
        <w:t>4.1</w:t>
        <w:tab/>
        <w:t>Планиране на създаването на  продукта</w:t>
      </w:r>
    </w:p>
    <w:p>
      <w:pPr>
        <w:pStyle w:val="Normal"/>
        <w:rPr>
          <w:b w:val="false"/>
        </w:rPr>
      </w:pPr>
      <w:r>
        <w:rPr>
          <w:b w:val="false"/>
        </w:rPr>
      </w:r>
    </w:p>
    <w:p>
      <w:pPr>
        <w:pStyle w:val="BodyTextIndent2"/>
        <w:ind w:firstLine="708" w:end="0"/>
        <w:rPr/>
      </w:pPr>
      <w:r>
        <w:rPr/>
        <w:t>Планирането на създаването на продукта в СМП ПЛЕВЕН ЕООД се разглежда в следните направления:</w:t>
      </w:r>
    </w:p>
    <w:p>
      <w:pPr>
        <w:pStyle w:val="BodyTextIndent2"/>
        <w:numPr>
          <w:ilvl w:val="0"/>
          <w:numId w:val="4"/>
        </w:numPr>
        <w:rPr/>
      </w:pPr>
      <w:r>
        <w:rPr/>
        <w:t>Общо планиране на процесите, съобразени с целите безопасността при работа и изискванията към продукта, създаване на критерии, определяне на ресурси, упражняване на контрол и документиране;</w:t>
      </w:r>
    </w:p>
    <w:p>
      <w:pPr>
        <w:pStyle w:val="BodyTextIndent2"/>
        <w:numPr>
          <w:ilvl w:val="0"/>
          <w:numId w:val="4"/>
        </w:numPr>
        <w:rPr/>
      </w:pPr>
      <w:r>
        <w:rPr/>
        <w:t>Планиране на дейностите за изпълнение на конкретно изделие.</w:t>
      </w:r>
    </w:p>
    <w:p>
      <w:pPr>
        <w:pStyle w:val="BodyTextIndent2"/>
        <w:ind w:firstLine="708" w:end="0"/>
        <w:rPr/>
      </w:pPr>
      <w:r>
        <w:rPr/>
        <w:t>В СМП ПЛЕВЕН ЕООД общото планиране на процесите, необходими за извършването на основните дейности е извършено по време на изграждането на Интегрираната система за управление. Началото на процеса на общо планиране е определянето на фирмената политика по ЗБР и произтичащите конкретни цели по ЗБР, които периодично се ревизират при провеждане на преглед на ръководството.</w:t>
      </w:r>
    </w:p>
    <w:p>
      <w:pPr>
        <w:pStyle w:val="BodyTextIndent2"/>
        <w:ind w:firstLine="708" w:end="0"/>
        <w:rPr/>
      </w:pPr>
      <w:r>
        <w:rPr/>
        <w:t xml:space="preserve">В настоящия раздел ДЕЙНОСТИ последователно са разгледани основните процеси, осигуряващи предоставянето на услугата. </w:t>
      </w:r>
      <w:r>
        <w:rPr>
          <w:lang w:val="eu-ES"/>
        </w:rPr>
        <w:t>О</w:t>
      </w:r>
      <w:r>
        <w:rPr/>
        <w:t>снова за тяхната реализация са процесите по осигуряване на ресурси – материални, финансови и човешки; необходимата инфраструктура и работна среда за реализация на услугата. Всички тези процеси са описани ИН3 УПРАВЛЕНИЕ НА РЕСУРСИТЕ.</w:t>
      </w:r>
    </w:p>
    <w:p>
      <w:pPr>
        <w:pStyle w:val="BodyTextIndent2"/>
        <w:ind w:firstLine="708" w:end="0"/>
        <w:rPr>
          <w:color w:val="FF0000"/>
        </w:rPr>
      </w:pPr>
      <w:r>
        <w:rPr/>
        <w:t xml:space="preserve">За производството на всеки стандартен и поръчков продукт се извършва планиране, включващо прегледа на изискванията на клиента, договаряне и разработване на конкретен продукт/производство, осигуряване на необходимите ресурси за неговата реализация </w:t>
      </w:r>
      <w:r>
        <w:rPr>
          <w:lang w:val="eu-ES"/>
        </w:rPr>
        <w:t>и</w:t>
      </w:r>
      <w:r>
        <w:rPr/>
        <w:t xml:space="preserve"> предаването му на клиента. Реда за изпълнение на отделните дейности е описан в съответните точки от настоящия раздел на ИН, както и в процедурите от раздел 4, а реализирането е съпроводено с попълването на необходимите регламентирани записи.</w:t>
      </w:r>
    </w:p>
    <w:p>
      <w:pPr>
        <w:pStyle w:val="BodyTextIndent2"/>
        <w:rPr>
          <w:color w:val="FF0000"/>
        </w:rPr>
      </w:pPr>
      <w:r>
        <w:rPr>
          <w:color w:val="FF0000"/>
        </w:rPr>
      </w:r>
    </w:p>
    <w:p>
      <w:pPr>
        <w:pStyle w:val="BodyTextIndent2"/>
        <w:rPr>
          <w:b/>
          <w:szCs w:val="24"/>
          <w:u w:val="single"/>
        </w:rPr>
      </w:pPr>
      <w:r>
        <w:rPr>
          <w:b/>
          <w:szCs w:val="24"/>
          <w:u w:val="single"/>
        </w:rPr>
        <w:t>Управление на дейностите по отношение на ЗБР</w:t>
      </w:r>
    </w:p>
    <w:p>
      <w:pPr>
        <w:pStyle w:val="BodyTextIndent2"/>
        <w:ind w:firstLine="708" w:end="0"/>
        <w:rPr>
          <w:b/>
          <w:szCs w:val="24"/>
          <w:u w:val="single"/>
        </w:rPr>
      </w:pPr>
      <w:r>
        <w:rPr>
          <w:b/>
          <w:szCs w:val="24"/>
          <w:u w:val="single"/>
        </w:rPr>
      </w:r>
    </w:p>
    <w:p>
      <w:pPr>
        <w:pStyle w:val="BodyTextIndent2"/>
        <w:ind w:firstLine="708" w:end="0"/>
        <w:rPr/>
      </w:pPr>
      <w:r>
        <w:rPr/>
        <w:t xml:space="preserve">В СМП ПЛЕВЕН ЕООД се осъществява непрекъснат оперативен контрол по работни места и дейности за спазване изискванията на </w:t>
      </w:r>
      <w:r>
        <w:rPr>
          <w:rFonts w:cs="Arial"/>
        </w:rPr>
        <w:t xml:space="preserve">Закона за здравословни и безопасни условия на труд /ЗЗБУТ/ </w:t>
      </w:r>
      <w:r>
        <w:rPr/>
        <w:t xml:space="preserve">и Наредбите към тях. </w:t>
      </w:r>
    </w:p>
    <w:p>
      <w:pPr>
        <w:pStyle w:val="BodyTextIndent2"/>
        <w:rPr/>
      </w:pPr>
      <w:r>
        <w:rPr/>
        <w:t>Всички дейности се извършват съгласно указанията на нормативните документи и инструкциите за здравословни и безопасни условия на труд.</w:t>
      </w:r>
    </w:p>
    <w:p>
      <w:pPr>
        <w:pStyle w:val="BodyTextIndent2"/>
        <w:rPr/>
      </w:pPr>
      <w:r>
        <w:rPr/>
        <w:t xml:space="preserve">С цел улеснение на управлението на значимите аспекти по отношение на околната среда и рисковете за ЗБР се разработват формуляри, които се прилагат към разработените ОП4-01 </w:t>
      </w:r>
      <w:r>
        <w:rPr>
          <w:rFonts w:cs="Arial"/>
        </w:rPr>
        <w:t>„Оперативно управление на дейностите по осигуряване на здравето и безопасността при работа”</w:t>
      </w:r>
      <w:r>
        <w:rPr/>
        <w:t>.</w:t>
      </w:r>
    </w:p>
    <w:p>
      <w:pPr>
        <w:pStyle w:val="BodyTextIndent2"/>
        <w:rPr/>
      </w:pPr>
      <w:r>
        <w:rPr/>
        <w:t>Закупуването на материалите се извършва от одобрени доставчици, съгласно т. 4.4 от настоящия раздел 4 от ИН. Всички доставки са придружени с инструкция за употреба и документ за качество: Сертификат или Декларация за съответствие, като по този начин се предотвратяват рисковете за ЗБР при работа с продуктите.</w:t>
      </w:r>
    </w:p>
    <w:p>
      <w:pPr>
        <w:pStyle w:val="BodyTextIndent2"/>
        <w:rPr/>
      </w:pPr>
      <w:r>
        <w:rPr/>
        <w:t xml:space="preserve">Контролните дейности, гарантиращи съответствието между изискванията на безопасността и здравето и тяхното реално изпълнение в процесите на планиране и реализация на продукта, доставки на материали и връзки с клиенти, са регламентирани в ОП4-01 </w:t>
      </w:r>
      <w:r>
        <w:rPr>
          <w:rFonts w:cs="Arial"/>
        </w:rPr>
        <w:t>„Оперативно управление на дейностите по осигуряване на здравето и безопасността при работа”</w:t>
      </w:r>
      <w:r>
        <w:rPr/>
        <w:t>.</w:t>
      </w:r>
    </w:p>
    <w:p>
      <w:pPr>
        <w:pStyle w:val="BodyTextIndent2"/>
        <w:rPr/>
      </w:pPr>
      <w:r>
        <w:rPr/>
      </w:r>
    </w:p>
    <w:p>
      <w:pPr>
        <w:pStyle w:val="BodyTextIndent2"/>
        <w:rPr/>
      </w:pPr>
      <w:r>
        <w:rPr/>
        <w:t>Документи по темата</w:t>
      </w:r>
    </w:p>
    <w:tbl>
      <w:tblPr>
        <w:tblW w:w="9142" w:type="dxa"/>
        <w:jc w:val="start"/>
        <w:tblInd w:w="70" w:type="dxa"/>
        <w:tblLayout w:type="fixed"/>
        <w:tblCellMar>
          <w:top w:w="0" w:type="dxa"/>
          <w:start w:w="70" w:type="dxa"/>
          <w:bottom w:w="0" w:type="dxa"/>
          <w:end w:w="70" w:type="dxa"/>
        </w:tblCellMar>
      </w:tblPr>
      <w:tblGrid>
        <w:gridCol w:w="4536"/>
        <w:gridCol w:w="4606"/>
      </w:tblGrid>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rPr/>
            </w:pPr>
            <w:r>
              <w:rPr/>
              <w:t xml:space="preserve">ОП4-01 </w:t>
            </w:r>
            <w:r>
              <w:rPr>
                <w:rFonts w:cs="Arial"/>
              </w:rPr>
              <w:t>„Оперативно управление на дейностите по осигуряване на здравето и безопасността при работа”</w:t>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snapToGrid w:val="false"/>
              <w:rPr/>
            </w:pPr>
            <w:r>
              <w:rPr/>
            </w:r>
          </w:p>
        </w:tc>
      </w:tr>
    </w:tbl>
    <w:p>
      <w:pPr>
        <w:pStyle w:val="BodyTextIndent2"/>
        <w:rPr/>
      </w:pPr>
      <w:r>
        <w:rPr/>
      </w:r>
    </w:p>
    <w:p>
      <w:pPr>
        <w:pStyle w:val="BodyTextIndent2"/>
        <w:rPr/>
      </w:pPr>
      <w:r>
        <w:rPr/>
      </w:r>
    </w:p>
    <w:p>
      <w:pPr>
        <w:pStyle w:val="Heading2"/>
        <w:ind w:hanging="0" w:start="0"/>
        <w:rPr/>
      </w:pPr>
      <w:r>
        <w:rPr/>
        <w:t>4.2</w:t>
        <w:tab/>
        <w:t>Процеси, свързани с клиента и документация за продукта</w:t>
      </w:r>
    </w:p>
    <w:p>
      <w:pPr>
        <w:pStyle w:val="Normal"/>
        <w:rPr/>
      </w:pPr>
      <w:r>
        <w:rPr/>
      </w:r>
    </w:p>
    <w:p>
      <w:pPr>
        <w:pStyle w:val="Heading3"/>
        <w:ind w:hanging="0" w:start="0"/>
        <w:rPr/>
      </w:pPr>
      <w:r>
        <w:rPr/>
        <w:t xml:space="preserve">Установяване и оценка на изискванията към услугата </w:t>
      </w:r>
    </w:p>
    <w:p>
      <w:pPr>
        <w:pStyle w:val="BodyText"/>
        <w:jc w:val="start"/>
        <w:rPr>
          <w:b w:val="false"/>
          <w:sz w:val="22"/>
        </w:rPr>
      </w:pPr>
      <w:r>
        <w:rPr>
          <w:b w:val="false"/>
          <w:sz w:val="22"/>
        </w:rPr>
        <w:t xml:space="preserve"> </w:t>
      </w:r>
    </w:p>
    <w:p>
      <w:pPr>
        <w:pStyle w:val="BodyTextIndent2"/>
        <w:ind w:firstLine="708" w:end="0"/>
        <w:rPr/>
      </w:pPr>
      <w:r>
        <w:rPr/>
        <w:t xml:space="preserve">Целта е  още с приемането на поръчката да се предотвратят евентуални грешки, за което се установяват, оценяват и проверяват изискванията на клиента. Така се гарантира оптимално изпълнение на предлаганата услуга или доставка на продукта. След това се проучват важните, формулирани от клиента изисквания към продукта и приложимите изисквания на нормативните актове за продукта и за условията, при които се предоставя услугата. Изискванията към продукта се документират и задължително се проверяват.  </w:t>
      </w:r>
    </w:p>
    <w:p>
      <w:pPr>
        <w:pStyle w:val="BodyTextIndent2"/>
        <w:rPr/>
      </w:pPr>
      <w:r>
        <w:rPr/>
      </w:r>
    </w:p>
    <w:p>
      <w:pPr>
        <w:pStyle w:val="Heading3"/>
        <w:ind w:hanging="0" w:start="0"/>
        <w:rPr/>
      </w:pPr>
      <w:r>
        <w:rPr/>
        <w:t xml:space="preserve">Комуникация с клиента </w:t>
      </w:r>
    </w:p>
    <w:p>
      <w:pPr>
        <w:pStyle w:val="Normal"/>
        <w:jc w:val="both"/>
        <w:rPr/>
      </w:pPr>
      <w:r>
        <w:rPr/>
      </w:r>
    </w:p>
    <w:p>
      <w:pPr>
        <w:pStyle w:val="BodyTextIndent2"/>
        <w:ind w:firstLine="708" w:end="0"/>
        <w:rPr/>
      </w:pPr>
      <w:r>
        <w:rPr/>
        <w:t>Фирмата има правила за комуникацията с клиента за изпълняване изискванията на клиента и установяване на евентуални промени в тези изисквания. Комуникацията с клиента е в основата на правилното разбиране и изпълнение на неговите желания и очаквания. Ето защо фирмата  е</w:t>
      </w:r>
      <w:r>
        <w:rPr>
          <w:color w:val="FF0000"/>
        </w:rPr>
        <w:t xml:space="preserve"> </w:t>
      </w:r>
      <w:r>
        <w:rPr/>
        <w:t xml:space="preserve">в непрекъснат контакт със своите клиенти, за да осигури постоянно добро качество на предлаганите продукти. </w:t>
      </w:r>
    </w:p>
    <w:p>
      <w:pPr>
        <w:pStyle w:val="BodyTextIndent2"/>
        <w:ind w:firstLine="708" w:end="0"/>
        <w:rPr/>
      </w:pPr>
      <w:r>
        <w:rPr/>
        <w:t>От особено значение са начина и мащаба на представяне на фирмения продукт. Запознаването на клиентите с характеристиките на предлаганите услуги и продукти, става посредством рекламни дипляни, брошури с доказателства за икономическо и финансово състояние на фирмата, както и за техническите възможности и квалификация. Общите изисквания на потребителите по отношение на услугата и продукта се установяват , посредством контакти с основни възложители на поръчки, експлоатационни дружества, преглед на предварителните заявки за поръчки, публикувани, съгласно Закона за Обществените поръчки. Конкретизирането и установяването на специфичните изисквания става при установяването на контакт с потенциалните клиенти посредством тръжна документация за поръчката, директни контакти, телефонни разговори, писма, е-mail. В процеса на разговорите се дава обстойна информация относно техническите параметри и различните възможности за реализация на отправените запитвания.</w:t>
      </w:r>
    </w:p>
    <w:p>
      <w:pPr>
        <w:pStyle w:val="BodyTextIndent2"/>
        <w:ind w:firstLine="708" w:end="0"/>
        <w:rPr/>
      </w:pPr>
      <w:r>
        <w:rPr/>
        <w:t>Конкретните стъпки при осъществяването на работните процеси, свързани с комуникацията и работата с клиентите, регистриране на запитванията, поръчките и договорите, както и управлението на несъответствията при изпълнението на поръчките са посочени в РИ4-02 „Работа с клиенти“.</w:t>
      </w:r>
    </w:p>
    <w:p>
      <w:pPr>
        <w:pStyle w:val="BodyTextIndent2"/>
        <w:ind w:firstLine="708" w:end="0"/>
        <w:rPr>
          <w:b/>
        </w:rPr>
      </w:pPr>
      <w:r>
        <w:rPr>
          <w:b/>
        </w:rPr>
      </w:r>
    </w:p>
    <w:p>
      <w:pPr>
        <w:pStyle w:val="BodyTextIndent2"/>
        <w:rPr>
          <w:b/>
          <w:u w:val="single"/>
        </w:rPr>
      </w:pPr>
      <w:r>
        <w:rPr>
          <w:b/>
          <w:u w:val="single"/>
        </w:rPr>
        <w:t>Проучване удовлетвореността на клиента</w:t>
      </w:r>
    </w:p>
    <w:p>
      <w:pPr>
        <w:pStyle w:val="BodyTextIndent2"/>
        <w:ind w:firstLine="708" w:end="0"/>
        <w:rPr>
          <w:b/>
          <w:u w:val="single"/>
        </w:rPr>
      </w:pPr>
      <w:r>
        <w:rPr>
          <w:b/>
          <w:u w:val="single"/>
        </w:rPr>
      </w:r>
    </w:p>
    <w:p>
      <w:pPr>
        <w:pStyle w:val="BodyTextIndent2"/>
        <w:rPr/>
      </w:pPr>
      <w:r>
        <w:rPr/>
        <w:t>Цели на проучването: да определи оценката на клиента относно здравето и безопасността при работа и нивото на обслужване във фирмата;</w:t>
      </w:r>
    </w:p>
    <w:p>
      <w:pPr>
        <w:pStyle w:val="BodyTextIndent2"/>
        <w:numPr>
          <w:ilvl w:val="0"/>
          <w:numId w:val="8"/>
        </w:numPr>
        <w:rPr/>
      </w:pPr>
      <w:r>
        <w:rPr/>
        <w:t>да установи наличието на вероятни проблеми на клиента, свързани с дейността на фирмата;</w:t>
      </w:r>
    </w:p>
    <w:p>
      <w:pPr>
        <w:pStyle w:val="BodyTextIndent2"/>
        <w:numPr>
          <w:ilvl w:val="0"/>
          <w:numId w:val="8"/>
        </w:numPr>
        <w:rPr/>
      </w:pPr>
      <w:r>
        <w:rPr/>
        <w:t>да разкрие областите в дейността на дружеството, в които е възможно реализирането на подобрения.</w:t>
      </w:r>
    </w:p>
    <w:p>
      <w:pPr>
        <w:pStyle w:val="BodyTextIndent2"/>
        <w:ind w:firstLine="708" w:end="0"/>
        <w:rPr/>
      </w:pPr>
      <w:r>
        <w:rPr/>
      </w:r>
    </w:p>
    <w:p>
      <w:pPr>
        <w:pStyle w:val="BodyTextIndent2"/>
        <w:rPr/>
      </w:pPr>
      <w:r>
        <w:rPr/>
        <w:t>Проучвания се предприемат при:</w:t>
      </w:r>
    </w:p>
    <w:p>
      <w:pPr>
        <w:pStyle w:val="BodyTextIndent2"/>
        <w:numPr>
          <w:ilvl w:val="0"/>
          <w:numId w:val="9"/>
        </w:numPr>
        <w:rPr/>
      </w:pPr>
      <w:r>
        <w:rPr/>
        <w:t>Наличие на признаци за неудовлетвореност на клиента;</w:t>
      </w:r>
    </w:p>
    <w:p>
      <w:pPr>
        <w:pStyle w:val="BodyTextIndent2"/>
        <w:numPr>
          <w:ilvl w:val="0"/>
          <w:numId w:val="9"/>
        </w:numPr>
        <w:rPr/>
      </w:pPr>
      <w:r>
        <w:rPr/>
        <w:t>По решение на Управителя</w:t>
      </w:r>
    </w:p>
    <w:p>
      <w:pPr>
        <w:pStyle w:val="BodyTextIndent2"/>
        <w:ind w:firstLine="708" w:end="0"/>
        <w:rPr/>
      </w:pPr>
      <w:r>
        <w:rPr/>
        <w:t>Проучването на клиентската удовлетвореност се извършва чрез:</w:t>
      </w:r>
    </w:p>
    <w:p>
      <w:pPr>
        <w:pStyle w:val="BodyTextIndent2"/>
        <w:numPr>
          <w:ilvl w:val="0"/>
          <w:numId w:val="5"/>
        </w:numPr>
        <w:rPr/>
      </w:pPr>
      <w:r>
        <w:rPr/>
        <w:t>анкетиране / референция;</w:t>
      </w:r>
    </w:p>
    <w:p>
      <w:pPr>
        <w:pStyle w:val="BodyTextIndent2"/>
        <w:numPr>
          <w:ilvl w:val="0"/>
          <w:numId w:val="5"/>
        </w:numPr>
        <w:rPr/>
      </w:pPr>
      <w:r>
        <w:rPr/>
        <w:t>непринуден разговор.</w:t>
      </w:r>
    </w:p>
    <w:p>
      <w:pPr>
        <w:pStyle w:val="BodyTextIndent2"/>
        <w:rPr/>
      </w:pPr>
      <w:r>
        <w:rPr/>
        <w:t>Анкетните карти са практични и се разработват, за да бъде оценена една от следните няколко области:</w:t>
      </w:r>
    </w:p>
    <w:p>
      <w:pPr>
        <w:pStyle w:val="BodyTextIndent2"/>
        <w:numPr>
          <w:ilvl w:val="0"/>
          <w:numId w:val="2"/>
        </w:numPr>
        <w:rPr/>
      </w:pPr>
      <w:r>
        <w:rPr/>
        <w:t>Продуктови качества – технически характеристики, иновационни възможности;</w:t>
      </w:r>
    </w:p>
    <w:p>
      <w:pPr>
        <w:pStyle w:val="BodyTextIndent2"/>
        <w:numPr>
          <w:ilvl w:val="0"/>
          <w:numId w:val="2"/>
        </w:numPr>
        <w:rPr/>
      </w:pPr>
      <w:r>
        <w:rPr/>
        <w:t>Ниво на обслужване – комуникация, представяне и изчерпателност на информация;</w:t>
      </w:r>
    </w:p>
    <w:p>
      <w:pPr>
        <w:pStyle w:val="BodyTextIndent2"/>
        <w:numPr>
          <w:ilvl w:val="0"/>
          <w:numId w:val="2"/>
        </w:numPr>
        <w:rPr/>
      </w:pPr>
      <w:r>
        <w:rPr/>
        <w:t>Фирмена политика – срокове на изпълнение, условия на плащане, индивидуални решения.</w:t>
      </w:r>
    </w:p>
    <w:p>
      <w:pPr>
        <w:pStyle w:val="BodyTextIndent2"/>
        <w:ind w:firstLine="708" w:end="0"/>
        <w:rPr/>
      </w:pPr>
      <w:r>
        <w:rPr/>
        <w:t>Анкетните карти се попълват от служители на фирмата, имащи досег с клиента. Фирмата се възползва от всяка възможност за попълване на Анкетна карта от клиента.</w:t>
      </w:r>
    </w:p>
    <w:p>
      <w:pPr>
        <w:pStyle w:val="BodyTextIndent2"/>
        <w:ind w:firstLine="708" w:end="0"/>
        <w:rPr/>
      </w:pPr>
      <w:r>
        <w:rPr/>
        <w:t>Въз основа на направеното проучване се извеждат резултати, които служат при анализа и откриването на най-често срещаните слабости и недостатъци в дейността на фирмата.</w:t>
      </w:r>
    </w:p>
    <w:p>
      <w:pPr>
        <w:pStyle w:val="BodyTextIndent2"/>
        <w:rPr>
          <w:b/>
          <w:bCs/>
        </w:rPr>
      </w:pPr>
      <w:r>
        <w:rPr>
          <w:b/>
          <w:bCs/>
        </w:rPr>
      </w:r>
    </w:p>
    <w:p>
      <w:pPr>
        <w:pStyle w:val="BodyText"/>
        <w:rPr>
          <w:b w:val="false"/>
          <w:bCs/>
          <w:i/>
        </w:rPr>
      </w:pPr>
      <w:r>
        <w:rPr>
          <w:b w:val="false"/>
          <w:bCs/>
          <w:i/>
        </w:rPr>
      </w:r>
    </w:p>
    <w:p>
      <w:pPr>
        <w:pStyle w:val="Heading2"/>
        <w:ind w:hanging="0" w:start="0"/>
        <w:rPr>
          <w:i/>
          <w:iCs/>
        </w:rPr>
      </w:pPr>
      <w:r>
        <w:rPr/>
        <w:t>4.3</w:t>
        <w:tab/>
        <w:t>Проектиране и разработване</w:t>
      </w:r>
    </w:p>
    <w:p>
      <w:pPr>
        <w:pStyle w:val="Normal"/>
        <w:jc w:val="both"/>
        <w:rPr>
          <w:b w:val="false"/>
          <w:i/>
          <w:iCs/>
          <w:sz w:val="22"/>
          <w:szCs w:val="22"/>
        </w:rPr>
      </w:pPr>
      <w:r>
        <w:rPr>
          <w:b w:val="false"/>
          <w:i/>
          <w:iCs/>
          <w:sz w:val="22"/>
          <w:szCs w:val="22"/>
        </w:rPr>
      </w:r>
    </w:p>
    <w:p>
      <w:pPr>
        <w:pStyle w:val="Normal"/>
        <w:jc w:val="both"/>
        <w:rPr/>
      </w:pPr>
      <w:r>
        <w:rPr>
          <w:b w:val="false"/>
          <w:sz w:val="22"/>
          <w:szCs w:val="22"/>
          <w:lang w:val="en-US"/>
        </w:rPr>
        <w:tab/>
      </w:r>
      <w:r>
        <w:rPr>
          <w:b w:val="false"/>
          <w:sz w:val="22"/>
          <w:szCs w:val="22"/>
        </w:rPr>
        <w:t>Поради факта, че фирмата не извършва проектиране в дейността си, т. 8.3 „Проектиране и разработване на продукти и услуги” се изключва от обхвата на интегрираната система за управление. Обосновка е налична в т. 1.0 от ИН.</w:t>
      </w:r>
    </w:p>
    <w:p>
      <w:pPr>
        <w:pStyle w:val="Normal"/>
        <w:jc w:val="both"/>
        <w:rPr>
          <w:b w:val="false"/>
          <w:sz w:val="22"/>
          <w:szCs w:val="22"/>
        </w:rPr>
      </w:pPr>
      <w:r>
        <w:rPr>
          <w:b w:val="false"/>
          <w:sz w:val="22"/>
          <w:szCs w:val="22"/>
        </w:rPr>
      </w:r>
    </w:p>
    <w:p>
      <w:pPr>
        <w:pStyle w:val="Normal"/>
        <w:numPr>
          <w:ilvl w:val="0"/>
          <w:numId w:val="0"/>
        </w:numPr>
        <w:ind w:hanging="0" w:start="0"/>
        <w:rPr>
          <w:b w:val="false"/>
          <w:sz w:val="22"/>
          <w:szCs w:val="22"/>
        </w:rPr>
      </w:pPr>
      <w:r>
        <w:rPr>
          <w:b w:val="false"/>
          <w:sz w:val="22"/>
          <w:szCs w:val="22"/>
        </w:rPr>
      </w:r>
    </w:p>
    <w:p>
      <w:pPr>
        <w:pStyle w:val="Heading2"/>
        <w:ind w:hanging="0" w:start="0"/>
        <w:rPr/>
      </w:pPr>
      <w:bookmarkStart w:id="0" w:name="DDE_LINK14"/>
      <w:r>
        <w:rPr/>
        <w:t>4.4</w:t>
        <w:tab/>
        <w:t xml:space="preserve">Снабдяване </w:t>
      </w:r>
      <w:bookmarkEnd w:id="0"/>
    </w:p>
    <w:p>
      <w:pPr>
        <w:pStyle w:val="Normal"/>
        <w:ind w:start="851" w:end="0"/>
        <w:rPr>
          <w:b w:val="false"/>
        </w:rPr>
      </w:pPr>
      <w:r>
        <w:rPr>
          <w:b w:val="false"/>
        </w:rPr>
      </w:r>
    </w:p>
    <w:p>
      <w:pPr>
        <w:pStyle w:val="BodyTextIndent2"/>
        <w:ind w:firstLine="708" w:end="0"/>
        <w:rPr>
          <w:b/>
          <w:color w:val="FF0000"/>
        </w:rPr>
      </w:pPr>
      <w:r>
        <w:rPr/>
        <w:t xml:space="preserve">Фирмата осигурява пълно съответствие на закупените продукти с изискванията. Видът и обхватът  на приложения контрол върху доставчика и закупения продукт напълно зависят  от влиянието на закупения продукт върху създаването на  крайните ни продукти. Доставените продукти, технологично оборудване на предприятието, помощни материали и др. трябва да отговарят на определените и очаквани изисквания за качеството и </w:t>
      </w:r>
      <w:r>
        <w:rPr>
          <w:iCs/>
        </w:rPr>
        <w:t>цена</w:t>
      </w:r>
      <w:r>
        <w:rPr>
          <w:iCs/>
          <w:lang w:val="eu-ES"/>
        </w:rPr>
        <w:t>.</w:t>
      </w:r>
      <w:r>
        <w:rPr>
          <w:iCs/>
        </w:rPr>
        <w:t xml:space="preserve"> </w:t>
      </w:r>
    </w:p>
    <w:p>
      <w:pPr>
        <w:pStyle w:val="Heading3"/>
        <w:ind w:hanging="0" w:start="0"/>
        <w:rPr>
          <w:b w:val="false"/>
          <w:color w:val="FF0000"/>
        </w:rPr>
      </w:pPr>
      <w:r>
        <w:rPr>
          <w:b w:val="false"/>
          <w:color w:val="FF0000"/>
        </w:rPr>
      </w:r>
    </w:p>
    <w:p>
      <w:pPr>
        <w:pStyle w:val="Heading3"/>
        <w:ind w:hanging="0" w:start="0"/>
        <w:rPr/>
      </w:pPr>
      <w:r>
        <w:rPr/>
        <w:t>Процес на снабдяване</w:t>
      </w:r>
    </w:p>
    <w:p>
      <w:pPr>
        <w:pStyle w:val="Normal"/>
        <w:rPr/>
      </w:pPr>
      <w:r>
        <w:rPr/>
      </w:r>
    </w:p>
    <w:p>
      <w:pPr>
        <w:pStyle w:val="Normal"/>
        <w:jc w:val="both"/>
        <w:rPr/>
      </w:pPr>
      <w:r>
        <w:rPr>
          <w:sz w:val="22"/>
          <w:szCs w:val="22"/>
        </w:rPr>
        <w:t>Контрол върху доставчици</w:t>
      </w:r>
    </w:p>
    <w:p>
      <w:pPr>
        <w:pStyle w:val="Normal"/>
        <w:jc w:val="both"/>
        <w:rPr>
          <w:sz w:val="22"/>
          <w:szCs w:val="22"/>
        </w:rPr>
      </w:pPr>
      <w:r>
        <w:rPr>
          <w:sz w:val="22"/>
          <w:szCs w:val="22"/>
        </w:rPr>
      </w:r>
    </w:p>
    <w:p>
      <w:pPr>
        <w:pStyle w:val="Normal"/>
        <w:numPr>
          <w:ilvl w:val="0"/>
          <w:numId w:val="10"/>
        </w:numPr>
        <w:jc w:val="both"/>
        <w:rPr>
          <w:b w:val="false"/>
          <w:sz w:val="22"/>
          <w:szCs w:val="22"/>
        </w:rPr>
      </w:pPr>
      <w:r>
        <w:rPr>
          <w:b w:val="false"/>
          <w:sz w:val="22"/>
          <w:szCs w:val="22"/>
        </w:rPr>
        <w:t>Предварително проучване</w:t>
      </w:r>
    </w:p>
    <w:p>
      <w:pPr>
        <w:pStyle w:val="Normal"/>
        <w:numPr>
          <w:ilvl w:val="0"/>
          <w:numId w:val="3"/>
        </w:numPr>
        <w:jc w:val="both"/>
        <w:rPr>
          <w:b w:val="false"/>
          <w:sz w:val="22"/>
          <w:szCs w:val="22"/>
        </w:rPr>
      </w:pPr>
      <w:r>
        <w:rPr>
          <w:b w:val="false"/>
          <w:sz w:val="22"/>
          <w:szCs w:val="22"/>
        </w:rPr>
        <w:t>Съставяне списъци на актуалните и потенциалните ни доставчици</w:t>
      </w:r>
    </w:p>
    <w:p>
      <w:pPr>
        <w:pStyle w:val="Normal"/>
        <w:numPr>
          <w:ilvl w:val="0"/>
          <w:numId w:val="3"/>
        </w:numPr>
        <w:jc w:val="both"/>
        <w:rPr>
          <w:sz w:val="22"/>
          <w:szCs w:val="22"/>
        </w:rPr>
      </w:pPr>
      <w:r>
        <w:rPr>
          <w:b w:val="false"/>
          <w:sz w:val="22"/>
          <w:szCs w:val="22"/>
        </w:rPr>
        <w:t>Оценка</w:t>
      </w:r>
    </w:p>
    <w:p>
      <w:pPr>
        <w:pStyle w:val="BodyTextIndent2"/>
        <w:ind w:start="360" w:end="0"/>
        <w:rPr/>
      </w:pPr>
      <w:r>
        <w:rPr/>
        <w:t xml:space="preserve"> </w:t>
      </w:r>
    </w:p>
    <w:p>
      <w:pPr>
        <w:pStyle w:val="BodyTextIndent2"/>
        <w:rPr/>
      </w:pPr>
      <w:r>
        <w:rPr>
          <w:b/>
        </w:rPr>
        <w:t>Методика за оценка и избор на доставчиците:</w:t>
      </w:r>
    </w:p>
    <w:p>
      <w:pPr>
        <w:pStyle w:val="BodyTextIndent2"/>
        <w:numPr>
          <w:ilvl w:val="0"/>
          <w:numId w:val="6"/>
        </w:numPr>
        <w:rPr/>
      </w:pPr>
      <w:r>
        <w:rPr/>
        <w:t>Оценката на доставчиците се извършва в края на годината, по преценка на ръководството или при нужда от закупуване на нов вид продукти и материали, които не биха могли да бъдат доставени от вече оценените доставчици.</w:t>
      </w:r>
    </w:p>
    <w:p>
      <w:pPr>
        <w:pStyle w:val="BodyTextIndent2"/>
        <w:numPr>
          <w:ilvl w:val="0"/>
          <w:numId w:val="6"/>
        </w:numPr>
        <w:rPr/>
      </w:pPr>
      <w:r>
        <w:rPr/>
        <w:t xml:space="preserve">Преценява се дали доставчиците отговарят на всички изисквания, също така дали документите по доставката съдържат всички необходими данни на доставяните стоки и услуги.  </w:t>
      </w:r>
    </w:p>
    <w:p>
      <w:pPr>
        <w:pStyle w:val="BodyTextIndent2"/>
        <w:numPr>
          <w:ilvl w:val="0"/>
          <w:numId w:val="6"/>
        </w:numPr>
        <w:jc w:val="start"/>
        <w:rPr/>
      </w:pPr>
      <w:r>
        <w:rPr/>
        <w:t xml:space="preserve">Оценката и изборът на доставчици се осъществява и отразява съгласно следната система: </w:t>
        <w:br/>
        <w:t xml:space="preserve">   1. Всеки доставчик получава от 0 до 4 точки за всеки един от критериите за оценка – „цена”, „начин на плащане”, „срок и начин на доставка”, „качество”, „екосъобразност“ в зависимост от впечатленията на ръководството за извършените от него досега доставки.</w:t>
        <w:br/>
        <w:t xml:space="preserve">   2. Оценката на всеки един от петте критерия се сумира и при постигане на общ сбор от минимум 10 точки, доставчикът попада в списъка на основните доставчици. Ако доставчикът не събере нужния минимум попада в списъка на потенциалните доставчици. </w:t>
        <w:br/>
        <w:t xml:space="preserve">   3. За улеснение на сътрудниците, оценката и списъкът на основните и потенциални доставчици са обобщени в един документ - Ф4-13 „Списък и оценка на доставчици”.</w:t>
      </w:r>
    </w:p>
    <w:p>
      <w:pPr>
        <w:pStyle w:val="BodyTextIndent2"/>
        <w:numPr>
          <w:ilvl w:val="0"/>
          <w:numId w:val="6"/>
        </w:numPr>
        <w:rPr/>
      </w:pPr>
      <w:r>
        <w:rPr/>
        <w:t xml:space="preserve">Извършената оценка се документира от ПК във Ф4-13 и се предоставя на Ръководството като входен елемент на прегледа от ръководството. Оценката се извършва през </w:t>
      </w:r>
      <w:r>
        <w:rPr>
          <w:lang w:val="en-US"/>
        </w:rPr>
        <w:t>12</w:t>
      </w:r>
      <w:r>
        <w:rPr/>
        <w:t xml:space="preserve"> месеца или при необходимост.</w:t>
      </w:r>
    </w:p>
    <w:p>
      <w:pPr>
        <w:pStyle w:val="BodyTextIndent2"/>
        <w:rPr>
          <w:b/>
        </w:rPr>
      </w:pPr>
      <w:r>
        <w:rPr>
          <w:b/>
        </w:rPr>
      </w:r>
    </w:p>
    <w:p>
      <w:pPr>
        <w:pStyle w:val="BodyTextIndent2"/>
        <w:rPr>
          <w:b/>
        </w:rPr>
      </w:pPr>
      <w:r>
        <w:rPr>
          <w:b/>
        </w:rPr>
      </w:r>
    </w:p>
    <w:p>
      <w:pPr>
        <w:pStyle w:val="BodyTextIndent2"/>
        <w:rPr>
          <w:b/>
        </w:rPr>
      </w:pPr>
      <w:r>
        <w:rPr>
          <w:b/>
        </w:rPr>
        <w:t>Информация за закупуване</w:t>
      </w:r>
    </w:p>
    <w:p>
      <w:pPr>
        <w:pStyle w:val="Normal"/>
        <w:jc w:val="both"/>
        <w:rPr>
          <w:b w:val="false"/>
          <w:sz w:val="22"/>
        </w:rPr>
      </w:pPr>
      <w:r>
        <w:rPr>
          <w:b w:val="false"/>
          <w:sz w:val="22"/>
        </w:rPr>
      </w:r>
    </w:p>
    <w:p>
      <w:pPr>
        <w:pStyle w:val="BodyTextIndent2"/>
        <w:rPr/>
      </w:pPr>
      <w:r>
        <w:rPr/>
        <w:t xml:space="preserve">Процесът на закупуване се извършва съгласно разработената работна инструкция РИ4-02 „Снабдяване“, като за подпомагане на процеса се използва софтуерна система </w:t>
      </w:r>
      <w:r>
        <w:rPr>
          <w:lang w:val="en-US"/>
        </w:rPr>
        <w:t>Pantheon.</w:t>
      </w:r>
    </w:p>
    <w:p>
      <w:pPr>
        <w:pStyle w:val="BodyTextIndent2"/>
        <w:rPr>
          <w:iCs/>
        </w:rPr>
      </w:pPr>
      <w:r>
        <w:rPr>
          <w:iCs/>
        </w:rPr>
      </w:r>
    </w:p>
    <w:p>
      <w:pPr>
        <w:pStyle w:val="BodyTextIndent2"/>
        <w:rPr>
          <w:iCs/>
        </w:rPr>
      </w:pPr>
      <w:r>
        <w:rPr>
          <w:iCs/>
        </w:rPr>
      </w:r>
    </w:p>
    <w:p>
      <w:pPr>
        <w:pStyle w:val="Heading2"/>
        <w:ind w:hanging="0" w:start="0"/>
        <w:rPr/>
      </w:pPr>
      <w:bookmarkStart w:id="1" w:name="DDE_LINK8"/>
      <w:r>
        <w:rPr/>
        <w:t>4.5</w:t>
        <w:tab/>
        <w:t xml:space="preserve">Производство и предоставяне на услуги </w:t>
      </w:r>
      <w:bookmarkEnd w:id="1"/>
    </w:p>
    <w:p>
      <w:pPr>
        <w:pStyle w:val="Normal"/>
        <w:ind w:hanging="1" w:start="851" w:end="0"/>
        <w:jc w:val="both"/>
        <w:rPr>
          <w:b w:val="false"/>
        </w:rPr>
      </w:pPr>
      <w:r>
        <w:rPr>
          <w:b w:val="false"/>
        </w:rPr>
      </w:r>
    </w:p>
    <w:p>
      <w:pPr>
        <w:pStyle w:val="Heading3"/>
        <w:ind w:hanging="0" w:start="0"/>
        <w:rPr/>
      </w:pPr>
      <w:bookmarkStart w:id="2" w:name="DDE_LINK9"/>
      <w:r>
        <w:rPr/>
        <w:t>4.5.1</w:t>
        <w:tab/>
        <w:t>Управление на производството и предоставянето на услуга</w:t>
      </w:r>
      <w:bookmarkEnd w:id="2"/>
      <w:r>
        <w:rPr/>
        <w:t xml:space="preserve"> </w:t>
      </w:r>
    </w:p>
    <w:p>
      <w:pPr>
        <w:pStyle w:val="Normal"/>
        <w:ind w:start="851" w:end="0"/>
        <w:rPr>
          <w:b w:val="false"/>
        </w:rPr>
      </w:pPr>
      <w:r>
        <w:rPr>
          <w:b w:val="false"/>
        </w:rPr>
      </w:r>
    </w:p>
    <w:p>
      <w:pPr>
        <w:pStyle w:val="BodyTextIndent2"/>
        <w:ind w:firstLine="708" w:end="0"/>
        <w:rPr/>
      </w:pPr>
      <w:r>
        <w:rPr/>
        <w:t>С оглед непрекъснатото подобряване ефективността на процесите на предоставяне на услуги и поддържането на взаимовръзките между основните и спомагателните процеси на добро равнище, в СМП ПЛЕВЕН ЕООД се обръща голямо внимание на дейностите по планиране, организиране и контролируемо управление на производството и предоставяните услуги, доколкото от тях зависи до голяма степен постигането на удовлетвореност в клиентите по отношение вида, характеристиките, здравето и безопасността при работа на предлаганата от фирмата услуга.</w:t>
      </w:r>
    </w:p>
    <w:p>
      <w:pPr>
        <w:pStyle w:val="BodyTextIndent2"/>
        <w:ind w:firstLine="708" w:end="0"/>
        <w:rPr/>
      </w:pPr>
      <w:r>
        <w:rPr/>
        <w:t>За бързото и качествено изпълнение на процесите от голямо значение е наличието на информацията за характеристиките на продукта, наличието на ТСИК, прилагането на измервания и контрол и добрата ресурсна осигуреност. Това налага доставките на стоки да бъдат планирани съобразно нуждата от тях, а персоналът, зает с основните дейности да има необходимата квалификация и професионален опит, съобразно утвърдените длъжностни характеристики.</w:t>
      </w:r>
    </w:p>
    <w:p>
      <w:pPr>
        <w:pStyle w:val="BodyTextIndent2"/>
        <w:ind w:firstLine="708" w:end="0"/>
        <w:rPr/>
      </w:pPr>
      <w:r>
        <w:rPr/>
        <w:t>Съществен момент в процеса на производство е употребата на подходящо технологично оборудване, както и ясното регламентиране на процесите по контрол и проверка чрез непрекъснато верифициране и валидиране на продукта, спрямо възприетите стандарти.</w:t>
      </w:r>
    </w:p>
    <w:p>
      <w:pPr>
        <w:pStyle w:val="BodyTextIndent2"/>
        <w:ind w:firstLine="708" w:end="0"/>
        <w:rPr/>
      </w:pPr>
      <w:r>
        <w:rPr/>
        <w:t xml:space="preserve">В СМП ПЛЕВЕН ЕООД технологичното оборудване осигурява протичане на процеса на производство на ниво, отговарящо на изискванията на клиента и удовлетворяващи поетите ангажименти от фирмата. </w:t>
      </w:r>
    </w:p>
    <w:p>
      <w:pPr>
        <w:pStyle w:val="Heading3"/>
        <w:ind w:hanging="0" w:start="0"/>
        <w:rPr/>
      </w:pPr>
      <w:r>
        <w:rPr/>
      </w:r>
    </w:p>
    <w:p>
      <w:pPr>
        <w:pStyle w:val="Heading3"/>
        <w:ind w:hanging="0" w:start="0"/>
        <w:rPr/>
      </w:pPr>
      <w:r>
        <w:rPr/>
        <w:t>4.5.2</w:t>
        <w:tab/>
        <w:t>Валидиране на процеса (специални процеси)</w:t>
      </w:r>
    </w:p>
    <w:p>
      <w:pPr>
        <w:pStyle w:val="BodyTextIndent2"/>
        <w:rPr/>
      </w:pPr>
      <w:r>
        <w:rPr/>
      </w:r>
    </w:p>
    <w:p>
      <w:pPr>
        <w:pStyle w:val="Normal13pt"/>
        <w:jc w:val="both"/>
        <w:rPr>
          <w:rFonts w:ascii="Arial" w:hAnsi="Arial" w:cs="Arial"/>
          <w:sz w:val="22"/>
          <w:szCs w:val="22"/>
          <w:lang w:val="bg-BG"/>
        </w:rPr>
      </w:pPr>
      <w:r>
        <w:rPr>
          <w:rFonts w:cs="Arial" w:ascii="Arial" w:hAnsi="Arial"/>
          <w:sz w:val="22"/>
          <w:szCs w:val="22"/>
          <w:lang w:val="bg-BG"/>
        </w:rPr>
        <w:t>Специални процеси условно се наричат такива процеси, чиито изходни параметри (качествени показатели) не могат да бъдат проверени директно чрез последващо наблюдение или измерване. Това са процеси, при които недостатъците се проявяват обикновено по-късно (в процеса на експлоатация). Поради дейността на фирмата, специални процеси не се възникнали и не се управляват.</w:t>
      </w:r>
    </w:p>
    <w:p>
      <w:pPr>
        <w:pStyle w:val="Heading3"/>
        <w:ind w:hanging="0" w:start="0"/>
        <w:rPr/>
      </w:pPr>
      <w:r>
        <w:rPr/>
        <w:t xml:space="preserve"> </w:t>
      </w:r>
    </w:p>
    <w:p>
      <w:pPr>
        <w:pStyle w:val="Heading3"/>
        <w:ind w:hanging="0" w:start="0"/>
        <w:rPr/>
      </w:pPr>
      <w:r>
        <w:rPr/>
        <w:t>4.5.3</w:t>
        <w:tab/>
        <w:t>Маркировка и проследяване</w:t>
      </w:r>
    </w:p>
    <w:p>
      <w:pPr>
        <w:pStyle w:val="Normal"/>
        <w:rPr/>
      </w:pPr>
      <w:r>
        <w:rPr/>
      </w:r>
    </w:p>
    <w:p>
      <w:pPr>
        <w:pStyle w:val="Normal"/>
        <w:autoSpaceDE w:val="false"/>
        <w:spacing w:before="60" w:after="0"/>
        <w:jc w:val="both"/>
        <w:rPr>
          <w:rFonts w:cs="Arial"/>
          <w:b w:val="false"/>
          <w:sz w:val="22"/>
          <w:szCs w:val="22"/>
        </w:rPr>
      </w:pPr>
      <w:r>
        <w:rPr>
          <w:rFonts w:cs="Arial"/>
          <w:b w:val="false"/>
          <w:sz w:val="22"/>
          <w:szCs w:val="22"/>
        </w:rPr>
        <w:t>Ръководството на Организацията извършва идентификация и контрол на:</w:t>
      </w:r>
    </w:p>
    <w:p>
      <w:pPr>
        <w:pStyle w:val="Normal"/>
        <w:numPr>
          <w:ilvl w:val="0"/>
          <w:numId w:val="7"/>
        </w:numPr>
        <w:tabs>
          <w:tab w:val="clear" w:pos="708"/>
          <w:tab w:val="left" w:pos="851" w:leader="none"/>
          <w:tab w:val="left" w:pos="900" w:leader="none"/>
        </w:tabs>
        <w:autoSpaceDE w:val="false"/>
        <w:spacing w:before="20" w:after="20"/>
        <w:ind w:hanging="284" w:start="851" w:end="0"/>
        <w:jc w:val="both"/>
        <w:rPr>
          <w:rFonts w:cs="Arial"/>
          <w:b w:val="false"/>
          <w:sz w:val="22"/>
          <w:szCs w:val="22"/>
        </w:rPr>
      </w:pPr>
      <w:r>
        <w:rPr>
          <w:rFonts w:cs="Arial"/>
          <w:b w:val="false"/>
          <w:sz w:val="22"/>
          <w:szCs w:val="22"/>
        </w:rPr>
        <w:t>Заинтересованите страни;</w:t>
      </w:r>
    </w:p>
    <w:p>
      <w:pPr>
        <w:pStyle w:val="Normal"/>
        <w:numPr>
          <w:ilvl w:val="0"/>
          <w:numId w:val="7"/>
        </w:numPr>
        <w:tabs>
          <w:tab w:val="clear" w:pos="708"/>
          <w:tab w:val="left" w:pos="851" w:leader="none"/>
          <w:tab w:val="left" w:pos="900" w:leader="none"/>
        </w:tabs>
        <w:autoSpaceDE w:val="false"/>
        <w:spacing w:before="20" w:after="20"/>
        <w:ind w:hanging="284" w:start="851" w:end="0"/>
        <w:jc w:val="both"/>
        <w:rPr>
          <w:rFonts w:cs="Arial"/>
          <w:b w:val="false"/>
          <w:sz w:val="22"/>
          <w:szCs w:val="22"/>
        </w:rPr>
      </w:pPr>
      <w:r>
        <w:rPr>
          <w:rFonts w:cs="Arial"/>
          <w:b w:val="false"/>
          <w:sz w:val="22"/>
          <w:szCs w:val="22"/>
        </w:rPr>
        <w:t>Нормативните изисквания;</w:t>
      </w:r>
    </w:p>
    <w:p>
      <w:pPr>
        <w:pStyle w:val="Normal"/>
        <w:numPr>
          <w:ilvl w:val="0"/>
          <w:numId w:val="7"/>
        </w:numPr>
        <w:tabs>
          <w:tab w:val="clear" w:pos="708"/>
          <w:tab w:val="left" w:pos="851" w:leader="none"/>
          <w:tab w:val="left" w:pos="900" w:leader="none"/>
        </w:tabs>
        <w:autoSpaceDE w:val="false"/>
        <w:spacing w:before="20" w:after="20"/>
        <w:ind w:hanging="284" w:start="851" w:end="0"/>
        <w:jc w:val="both"/>
        <w:rPr>
          <w:rFonts w:cs="Arial"/>
          <w:b w:val="false"/>
          <w:sz w:val="22"/>
          <w:szCs w:val="22"/>
        </w:rPr>
      </w:pPr>
      <w:r>
        <w:rPr>
          <w:rFonts w:cs="Arial"/>
          <w:b w:val="false"/>
          <w:sz w:val="22"/>
          <w:szCs w:val="22"/>
        </w:rPr>
        <w:t>Основни и спомагателни процеси/дейности;</w:t>
      </w:r>
    </w:p>
    <w:p>
      <w:pPr>
        <w:pStyle w:val="Normal"/>
        <w:numPr>
          <w:ilvl w:val="0"/>
          <w:numId w:val="7"/>
        </w:numPr>
        <w:tabs>
          <w:tab w:val="clear" w:pos="708"/>
          <w:tab w:val="left" w:pos="851" w:leader="none"/>
          <w:tab w:val="left" w:pos="900" w:leader="none"/>
        </w:tabs>
        <w:autoSpaceDE w:val="false"/>
        <w:spacing w:before="20" w:after="20"/>
        <w:ind w:hanging="284" w:start="851" w:end="0"/>
        <w:jc w:val="both"/>
        <w:rPr>
          <w:rFonts w:cs="Arial"/>
          <w:b w:val="false"/>
          <w:sz w:val="22"/>
          <w:szCs w:val="22"/>
        </w:rPr>
      </w:pPr>
      <w:r>
        <w:rPr>
          <w:rFonts w:cs="Arial"/>
          <w:b w:val="false"/>
          <w:sz w:val="22"/>
          <w:szCs w:val="22"/>
        </w:rPr>
        <w:t>Отговорни Длъжностни лица;</w:t>
      </w:r>
    </w:p>
    <w:p>
      <w:pPr>
        <w:pStyle w:val="Normal"/>
        <w:numPr>
          <w:ilvl w:val="0"/>
          <w:numId w:val="7"/>
        </w:numPr>
        <w:tabs>
          <w:tab w:val="clear" w:pos="708"/>
          <w:tab w:val="left" w:pos="851" w:leader="none"/>
          <w:tab w:val="left" w:pos="900" w:leader="none"/>
        </w:tabs>
        <w:autoSpaceDE w:val="false"/>
        <w:spacing w:before="20" w:after="20"/>
        <w:ind w:hanging="284" w:start="851" w:end="0"/>
        <w:jc w:val="both"/>
        <w:rPr>
          <w:rFonts w:cs="Arial"/>
          <w:b w:val="false"/>
          <w:sz w:val="22"/>
          <w:szCs w:val="22"/>
        </w:rPr>
      </w:pPr>
      <w:r>
        <w:rPr>
          <w:rFonts w:cs="Arial"/>
          <w:b w:val="false"/>
          <w:sz w:val="22"/>
          <w:szCs w:val="22"/>
        </w:rPr>
        <w:t>Материалните и информационните ресурси;</w:t>
      </w:r>
    </w:p>
    <w:p>
      <w:pPr>
        <w:pStyle w:val="Normal"/>
        <w:numPr>
          <w:ilvl w:val="0"/>
          <w:numId w:val="7"/>
        </w:numPr>
        <w:tabs>
          <w:tab w:val="clear" w:pos="708"/>
          <w:tab w:val="left" w:pos="851" w:leader="none"/>
          <w:tab w:val="left" w:pos="900" w:leader="none"/>
        </w:tabs>
        <w:autoSpaceDE w:val="false"/>
        <w:spacing w:before="20" w:after="20"/>
        <w:ind w:hanging="284" w:start="851" w:end="0"/>
        <w:jc w:val="both"/>
        <w:rPr>
          <w:rFonts w:cs="Arial"/>
          <w:b w:val="false"/>
          <w:sz w:val="22"/>
          <w:szCs w:val="22"/>
        </w:rPr>
      </w:pPr>
      <w:r>
        <w:rPr>
          <w:rFonts w:cs="Arial"/>
          <w:b w:val="false"/>
          <w:sz w:val="22"/>
          <w:szCs w:val="22"/>
        </w:rPr>
        <w:t>Съответстващи и несъответстващи материали, продукти и услуги;</w:t>
      </w:r>
    </w:p>
    <w:p>
      <w:pPr>
        <w:pStyle w:val="Normal"/>
        <w:numPr>
          <w:ilvl w:val="0"/>
          <w:numId w:val="7"/>
        </w:numPr>
        <w:tabs>
          <w:tab w:val="clear" w:pos="708"/>
          <w:tab w:val="left" w:pos="851" w:leader="none"/>
          <w:tab w:val="left" w:pos="900" w:leader="none"/>
        </w:tabs>
        <w:autoSpaceDE w:val="false"/>
        <w:spacing w:before="20" w:after="20"/>
        <w:ind w:hanging="284" w:start="851" w:end="0"/>
        <w:jc w:val="both"/>
        <w:rPr>
          <w:rFonts w:cs="Arial"/>
          <w:b w:val="false"/>
          <w:sz w:val="22"/>
          <w:szCs w:val="22"/>
        </w:rPr>
      </w:pPr>
      <w:r>
        <w:rPr>
          <w:rFonts w:cs="Arial"/>
          <w:b w:val="false"/>
          <w:sz w:val="22"/>
          <w:szCs w:val="22"/>
        </w:rPr>
        <w:t>Документите и Записите, като редът за достъп, завеждане, разпространяване, съхранение, архивиране и унищожаване се описва в ОП1-01 „Управление на документи” и ОП1-02 „Управление на записи”.</w:t>
      </w:r>
    </w:p>
    <w:p>
      <w:pPr>
        <w:pStyle w:val="Normal"/>
        <w:jc w:val="both"/>
        <w:rPr>
          <w:b w:val="false"/>
          <w:sz w:val="22"/>
          <w:szCs w:val="22"/>
        </w:rPr>
      </w:pPr>
      <w:r>
        <w:rPr>
          <w:sz w:val="22"/>
          <w:szCs w:val="22"/>
          <w:lang w:val="eu-ES"/>
        </w:rPr>
        <w:tab/>
      </w:r>
      <w:r>
        <w:rPr>
          <w:b w:val="false"/>
          <w:sz w:val="22"/>
          <w:szCs w:val="22"/>
        </w:rPr>
        <w:t xml:space="preserve">Всички използвани ресурси са идентифицирани и при нужда могат да бъдат проследени във всеки един етап от изпълнението на дадена производствена дейност, като проследимостта се извършва с помощта на генерираните записи от СУ. Тази пълна проследимост гарантира бързото отстраняване на възникнали проблеми, както и доказване на съответствие с изискванията, наложени от клиентите и нормативните актове. </w:t>
      </w:r>
    </w:p>
    <w:p>
      <w:pPr>
        <w:pStyle w:val="Normal"/>
        <w:jc w:val="both"/>
        <w:rPr>
          <w:b w:val="false"/>
          <w:sz w:val="22"/>
          <w:szCs w:val="22"/>
        </w:rPr>
      </w:pPr>
      <w:r>
        <w:rPr>
          <w:b w:val="false"/>
          <w:sz w:val="22"/>
          <w:szCs w:val="22"/>
        </w:rPr>
        <w:tab/>
        <w:t>С оглед създаване на възможности за ефективно управление и подобрение на процесите в СМП ПЛЕВЕН ЕООД се поддържа определен ред за идентификация и проследимост, която включва:</w:t>
      </w:r>
    </w:p>
    <w:p>
      <w:pPr>
        <w:pStyle w:val="BodyTextIndent2"/>
        <w:ind w:firstLine="708" w:end="0"/>
        <w:rPr>
          <w:szCs w:val="22"/>
        </w:rPr>
      </w:pPr>
      <w:r>
        <w:rPr>
          <w:szCs w:val="22"/>
        </w:rPr>
        <w:t>Идентификация на дейността по поръчки – осигурява проследяване изпълнението на конкретна заявка на клиента от направеното запитване, през процеса на договаряне и приемането на поръчката, производството и последващата доставка. Идентификацията и проследяването се осигуряват с попълването и управлението на съответните записи съпровождащи протичането на гореописаните дейности, съгласно ОП4-01.</w:t>
      </w:r>
    </w:p>
    <w:p>
      <w:pPr>
        <w:pStyle w:val="Normal"/>
        <w:spacing w:before="60" w:after="0"/>
        <w:ind w:firstLine="708" w:end="0"/>
        <w:jc w:val="both"/>
        <w:rPr>
          <w:rFonts w:cs="Arial"/>
          <w:b w:val="false"/>
          <w:sz w:val="22"/>
          <w:szCs w:val="22"/>
        </w:rPr>
      </w:pPr>
      <w:r>
        <w:rPr>
          <w:rFonts w:cs="Arial"/>
          <w:b w:val="false"/>
          <w:sz w:val="22"/>
          <w:szCs w:val="22"/>
        </w:rPr>
        <w:t>Регистрираните резултати от входящ контрол и контрола по време на технологичния процес дават възможност за проследимост на работата на участниците в процеса.</w:t>
      </w:r>
    </w:p>
    <w:p>
      <w:pPr>
        <w:pStyle w:val="Normal"/>
        <w:spacing w:before="60" w:after="0"/>
        <w:ind w:firstLine="708" w:end="0"/>
        <w:jc w:val="both"/>
        <w:rPr/>
      </w:pPr>
      <w:r>
        <w:rPr>
          <w:rFonts w:cs="Arial"/>
          <w:b w:val="false"/>
          <w:sz w:val="22"/>
          <w:szCs w:val="22"/>
        </w:rPr>
        <w:t xml:space="preserve">Провежданите входящ контрол, контрол по време на съхранението и краен контрол и водените по тях записи служат за идентификация и проследимост на процесите. </w:t>
      </w:r>
    </w:p>
    <w:p>
      <w:pPr>
        <w:pStyle w:val="BodyText3"/>
        <w:jc w:val="both"/>
        <w:rPr>
          <w:rFonts w:cs="Arial"/>
          <w:b w:val="false"/>
          <w:sz w:val="22"/>
          <w:szCs w:val="22"/>
        </w:rPr>
      </w:pPr>
      <w:r>
        <w:rPr>
          <w:rFonts w:cs="Arial"/>
          <w:b w:val="false"/>
          <w:sz w:val="22"/>
          <w:szCs w:val="22"/>
        </w:rPr>
        <w:t>Задължителна проследимост се извършва при: установени несъответствия на характеристиките на извършените доставки, рекламации от Клиенти, одити на СУ; производство на продукти със специфични изисквания.</w:t>
      </w:r>
    </w:p>
    <w:p>
      <w:pPr>
        <w:pStyle w:val="BodyText3"/>
        <w:ind w:firstLine="708" w:end="0"/>
        <w:jc w:val="both"/>
        <w:rPr/>
      </w:pPr>
      <w:r>
        <w:rPr>
          <w:rFonts w:cs="Arial"/>
          <w:b w:val="false"/>
          <w:sz w:val="22"/>
          <w:szCs w:val="22"/>
        </w:rPr>
        <w:t>Методите за постигане на проследимост на процесите и продуктите се определят от Ръководството чрез изградената система за взаимен контрол, комуникация, идентификация и документооборот.</w:t>
      </w:r>
    </w:p>
    <w:p>
      <w:pPr>
        <w:pStyle w:val="BodyTextIndent2"/>
        <w:ind w:firstLine="708" w:end="0"/>
        <w:rPr/>
      </w:pPr>
      <w:r>
        <w:rPr/>
        <w:t>Съществен момент в процеса на предоставяне на продукти и услуги е употребата на подходящо технологично оборудване, както и ясното регламентиране на процесите по контрол и проверка чрез непрекъснато верифициране и валидиране на произвежданите изделия спрямо възприетите стандарти.</w:t>
      </w:r>
    </w:p>
    <w:p>
      <w:pPr>
        <w:pStyle w:val="BodyTextIndent2"/>
        <w:ind w:firstLine="708" w:end="0"/>
        <w:rPr/>
      </w:pPr>
      <w:r>
        <w:rPr/>
        <w:t>В СМП ПЛЕВЕН ЕООД технологичното оборудване осигурява протичане на процеса на предоставяне на услуга на ниво, отговарящо на изискванията на клиента и удовлетворяващи поетите ангажименти от фирмата. За работа с машините са разработени работни инструкции, а поддръжката им е регламентирана, съгласно нормативните изисквания като по този начин се гарантират безопасното функциониране и качественото изпълнение на заявените поръчки.</w:t>
      </w:r>
    </w:p>
    <w:p>
      <w:pPr>
        <w:pStyle w:val="Normal"/>
        <w:ind w:firstLine="708" w:end="0"/>
        <w:jc w:val="both"/>
        <w:rPr>
          <w:b w:val="false"/>
          <w:sz w:val="22"/>
        </w:rPr>
      </w:pPr>
      <w:r>
        <w:rPr>
          <w:b w:val="false"/>
          <w:sz w:val="22"/>
        </w:rPr>
        <w:t xml:space="preserve">В зависимост от договорения срок за изпълнение на поръчките Директор производство, съвместно с Директор Строителство и Търговския директор планират ежедневната нужда от материали, механизация, транспорт и човешки ресурси за изпълнение на отделните поръчки. </w:t>
      </w:r>
    </w:p>
    <w:p>
      <w:pPr>
        <w:pStyle w:val="BodyText3"/>
        <w:ind w:firstLine="708" w:end="0"/>
        <w:jc w:val="both"/>
        <w:rPr>
          <w:rFonts w:cs="Arial"/>
          <w:b w:val="false"/>
          <w:sz w:val="22"/>
          <w:szCs w:val="22"/>
        </w:rPr>
      </w:pPr>
      <w:r>
        <w:rPr>
          <w:rFonts w:cs="Arial"/>
          <w:b w:val="false"/>
          <w:sz w:val="22"/>
          <w:szCs w:val="22"/>
        </w:rPr>
      </w:r>
    </w:p>
    <w:p>
      <w:pPr>
        <w:pStyle w:val="Heading3"/>
        <w:ind w:hanging="0" w:start="0"/>
        <w:rPr/>
      </w:pPr>
      <w:r>
        <w:rPr/>
        <w:t>4.5.4</w:t>
        <w:tab/>
        <w:t>Боравене със собствеността на клиента или на външен доставчик</w:t>
      </w:r>
    </w:p>
    <w:p>
      <w:pPr>
        <w:pStyle w:val="BodyTextIndent2"/>
        <w:rPr/>
      </w:pPr>
      <w:r>
        <w:rPr/>
      </w:r>
    </w:p>
    <w:p>
      <w:pPr>
        <w:pStyle w:val="BodyText3"/>
        <w:ind w:firstLine="708" w:end="0"/>
        <w:jc w:val="both"/>
        <w:rPr/>
      </w:pPr>
      <w:r>
        <w:rPr>
          <w:rFonts w:cs="Arial"/>
          <w:b w:val="false"/>
          <w:sz w:val="22"/>
          <w:szCs w:val="22"/>
        </w:rPr>
        <w:t>Когато Клиент доставя проект или материал, по който да се изпълни обект, или който да бъде вграден в него, всички изисквания за проверка, съхранение и поддържане на тези проект и/или материали се регламентират предварително в договорите съгласно т. 4.2 от настоящата процедура. Уточняват се: проверката на продукта при доставянето му, условията за съхранение, идентификация, поддържане, действия при загуба, повреда или друга възникнала причина, която го прави неподходящ за използване.</w:t>
      </w:r>
    </w:p>
    <w:p>
      <w:pPr>
        <w:pStyle w:val="BodyTextIndent2"/>
        <w:spacing w:before="60" w:after="0"/>
        <w:ind w:firstLine="708" w:end="0"/>
        <w:rPr>
          <w:rFonts w:cs="Arial"/>
          <w:szCs w:val="22"/>
        </w:rPr>
      </w:pPr>
      <w:r>
        <w:rPr>
          <w:rFonts w:cs="Arial"/>
          <w:szCs w:val="22"/>
        </w:rPr>
        <w:t xml:space="preserve">Предоставените от Клиента Проекти се идентифицират с номера на Договора и датата на сключването му, като предварително Проекта се проверява за съответствие с изискванията към проектно-техническата документация. </w:t>
      </w:r>
    </w:p>
    <w:p>
      <w:pPr>
        <w:pStyle w:val="BodyTextIndent2"/>
        <w:spacing w:before="60" w:after="0"/>
        <w:ind w:firstLine="708" w:end="0"/>
        <w:rPr/>
      </w:pPr>
      <w:r>
        <w:rPr>
          <w:rFonts w:cs="Arial"/>
          <w:szCs w:val="22"/>
        </w:rPr>
        <w:t xml:space="preserve">По време на изпълнение на Проекта на работната площадка се предоставя копие от него, а след приключването му се изземва и съхранява от Главен инженер, ако в Договора не е предвидено връщането му на Клиента. </w:t>
      </w:r>
    </w:p>
    <w:p>
      <w:pPr>
        <w:pStyle w:val="BodyTextIndent2"/>
        <w:spacing w:before="60" w:after="0"/>
        <w:ind w:firstLine="708" w:end="0"/>
        <w:rPr/>
      </w:pPr>
      <w:r>
        <w:rPr>
          <w:rFonts w:cs="Arial"/>
          <w:szCs w:val="22"/>
        </w:rPr>
        <w:t>Когато продуктът, доставен от Клиента е услуга, в Договора се уточняват условията за осигуряване изискванията за здравето и безопасността при работа на услугата и отговорностите на двете страни по Договора.</w:t>
      </w:r>
    </w:p>
    <w:p>
      <w:pPr>
        <w:pStyle w:val="BodyTextIndent2"/>
        <w:spacing w:before="60" w:after="0"/>
        <w:ind w:firstLine="708" w:end="0"/>
        <w:rPr/>
      </w:pPr>
      <w:r>
        <w:rPr>
          <w:rFonts w:cs="Arial"/>
          <w:szCs w:val="22"/>
        </w:rPr>
        <w:t>Всеки проект/материал, предоставен от Клиента, при получаването му в</w:t>
      </w:r>
      <w:r>
        <w:rPr>
          <w:rFonts w:cs="Arial"/>
          <w:smallCaps/>
          <w:szCs w:val="22"/>
        </w:rPr>
        <w:t xml:space="preserve"> СМП ПЛЕВЕН ЕООД</w:t>
      </w:r>
      <w:r>
        <w:rPr>
          <w:rFonts w:cs="Arial"/>
          <w:szCs w:val="22"/>
        </w:rPr>
        <w:t xml:space="preserve"> се идентифицира, извършва се необходимия контрол по количество и качество. Проверката, извършена от Организацията, не освобождава Клиента от отговорността му да осигури качеството на доставения материал/съответствие на проекта, което е посочено в Договора.</w:t>
      </w:r>
    </w:p>
    <w:p>
      <w:pPr>
        <w:pStyle w:val="BodyTextIndent2"/>
        <w:spacing w:before="60" w:after="0"/>
        <w:ind w:firstLine="708" w:end="0"/>
        <w:rPr>
          <w:rFonts w:cs="Arial"/>
          <w:szCs w:val="22"/>
        </w:rPr>
      </w:pPr>
      <w:r>
        <w:rPr>
          <w:rFonts w:cs="Arial"/>
          <w:szCs w:val="22"/>
        </w:rPr>
        <w:t>Съхранението на материалите в склада на Организацията, на обекта, вътрешният транспорт и други операции, се извършват в съответствие с изискванията на Договора и документираните процедури за запазване на неговите качества.</w:t>
      </w:r>
    </w:p>
    <w:p>
      <w:pPr>
        <w:pStyle w:val="Normal"/>
        <w:spacing w:before="60" w:after="0"/>
        <w:ind w:firstLine="708" w:end="0"/>
        <w:jc w:val="both"/>
        <w:rPr>
          <w:rFonts w:cs="Arial"/>
          <w:b w:val="false"/>
          <w:sz w:val="22"/>
          <w:szCs w:val="22"/>
        </w:rPr>
      </w:pPr>
      <w:r>
        <w:rPr>
          <w:rFonts w:cs="Arial"/>
          <w:b w:val="false"/>
          <w:sz w:val="22"/>
          <w:szCs w:val="22"/>
        </w:rPr>
        <w:t>Персоналът, който при изпълнение на своите задачи влиза в контакт с доставения от Клиента проект/материал, е задължен да го пази, да не допуска неразрешени въздействия върху него и за всяко установено несъответствие да уведомява Прекия си ръководител.</w:t>
      </w:r>
    </w:p>
    <w:p>
      <w:pPr>
        <w:pStyle w:val="BodyTextIndent2"/>
        <w:ind w:firstLine="708" w:end="0"/>
        <w:rPr>
          <w:rFonts w:cs="Arial"/>
          <w:szCs w:val="22"/>
        </w:rPr>
      </w:pPr>
      <w:r>
        <w:rPr>
          <w:rFonts w:cs="Arial"/>
          <w:szCs w:val="22"/>
        </w:rPr>
        <w:t>При загуба, повреди или друга възникнала причина, която прави доставения от Клиента проект/материал неподходящ за използване, ГИ/ТР извършва проверка и анализира причините и уведомява Управител. Последния  уведомява с писмо Клиента и организира уреждането на проблема.</w:t>
      </w:r>
    </w:p>
    <w:p>
      <w:pPr>
        <w:pStyle w:val="BodyTextIndent2"/>
        <w:rPr>
          <w:rFonts w:cs="Arial"/>
          <w:szCs w:val="22"/>
          <w:lang w:val="ru-RU"/>
        </w:rPr>
      </w:pPr>
      <w:r>
        <w:rPr>
          <w:rFonts w:cs="Arial"/>
          <w:szCs w:val="22"/>
          <w:lang w:val="ru-RU"/>
        </w:rPr>
      </w:r>
    </w:p>
    <w:p>
      <w:pPr>
        <w:pStyle w:val="Heading3"/>
        <w:ind w:hanging="0" w:start="0"/>
        <w:rPr/>
      </w:pPr>
      <w:r>
        <w:rPr/>
        <w:t>4.5.5</w:t>
        <w:tab/>
        <w:t xml:space="preserve">Съхранение на продукта </w:t>
      </w:r>
    </w:p>
    <w:p>
      <w:pPr>
        <w:pStyle w:val="BodyTextIndent2"/>
        <w:ind w:firstLine="708" w:end="0"/>
        <w:rPr/>
      </w:pPr>
      <w:r>
        <w:rPr/>
      </w:r>
    </w:p>
    <w:p>
      <w:pPr>
        <w:pStyle w:val="BodyTextIndent2"/>
        <w:ind w:firstLine="708" w:end="0"/>
        <w:rPr/>
      </w:pPr>
      <w:r>
        <w:rPr/>
        <w:t>Съхранението на доставените и доставящите се стоки, материалите за производство и готовата продукция става при подходящи условия и на специално предназначени за това места. Спазени са всички изисквания по отношение на пряка слънчева светлина, влага, опаковане и подреждане както на материалите за производство, така и на готовите продукти, с оглед предпазването им от физическо и механично увреждане.</w:t>
      </w:r>
    </w:p>
    <w:p>
      <w:pPr>
        <w:pStyle w:val="BodyTextIndent2"/>
        <w:ind w:firstLine="708" w:end="0"/>
        <w:rPr/>
      </w:pPr>
      <w:r>
        <w:rPr/>
        <w:t xml:space="preserve">За да се гарантира съответствието с изискванията, всеки материал се заприходява и използва по ред, регламентиран от нормативните документи. </w:t>
      </w:r>
    </w:p>
    <w:p>
      <w:pPr>
        <w:pStyle w:val="Normal"/>
        <w:ind w:firstLine="708" w:end="0"/>
        <w:jc w:val="both"/>
        <w:rPr>
          <w:b w:val="false"/>
          <w:sz w:val="22"/>
        </w:rPr>
      </w:pPr>
      <w:r>
        <w:rPr>
          <w:b w:val="false"/>
          <w:sz w:val="22"/>
        </w:rPr>
        <w:t>На територията на дружеството са обособени са следните видове складове:</w:t>
      </w:r>
    </w:p>
    <w:p>
      <w:pPr>
        <w:pStyle w:val="Normal"/>
        <w:numPr>
          <w:ilvl w:val="1"/>
          <w:numId w:val="3"/>
        </w:numPr>
        <w:jc w:val="both"/>
        <w:rPr>
          <w:b w:val="false"/>
          <w:sz w:val="22"/>
        </w:rPr>
      </w:pPr>
      <w:r>
        <w:rPr>
          <w:b w:val="false"/>
          <w:sz w:val="22"/>
        </w:rPr>
        <w:t>склад материали – едра железария</w:t>
      </w:r>
    </w:p>
    <w:p>
      <w:pPr>
        <w:pStyle w:val="Normal"/>
        <w:numPr>
          <w:ilvl w:val="1"/>
          <w:numId w:val="3"/>
        </w:numPr>
        <w:jc w:val="both"/>
        <w:rPr>
          <w:b w:val="false"/>
          <w:sz w:val="22"/>
        </w:rPr>
      </w:pPr>
      <w:r>
        <w:rPr>
          <w:b w:val="false"/>
          <w:sz w:val="22"/>
        </w:rPr>
        <w:t>склад материали дребна железария – консумативи</w:t>
      </w:r>
    </w:p>
    <w:p>
      <w:pPr>
        <w:pStyle w:val="Normal"/>
        <w:numPr>
          <w:ilvl w:val="1"/>
          <w:numId w:val="3"/>
        </w:numPr>
        <w:jc w:val="both"/>
        <w:rPr>
          <w:b w:val="false"/>
          <w:sz w:val="22"/>
          <w:szCs w:val="22"/>
        </w:rPr>
      </w:pPr>
      <w:r>
        <w:rPr>
          <w:b w:val="false"/>
          <w:sz w:val="22"/>
        </w:rPr>
        <w:t xml:space="preserve">склад </w:t>
      </w:r>
      <w:r>
        <w:rPr>
          <w:b w:val="false"/>
          <w:sz w:val="22"/>
          <w:szCs w:val="22"/>
        </w:rPr>
        <w:t>готова продукция</w:t>
      </w:r>
    </w:p>
    <w:p>
      <w:pPr>
        <w:pStyle w:val="Normal"/>
        <w:numPr>
          <w:ilvl w:val="1"/>
          <w:numId w:val="3"/>
        </w:numPr>
        <w:jc w:val="both"/>
        <w:rPr>
          <w:b w:val="false"/>
          <w:sz w:val="22"/>
          <w:szCs w:val="22"/>
        </w:rPr>
      </w:pPr>
      <w:r>
        <w:rPr>
          <w:b w:val="false"/>
          <w:sz w:val="22"/>
          <w:szCs w:val="22"/>
        </w:rPr>
        <w:t>склад скрап</w:t>
      </w:r>
    </w:p>
    <w:p>
      <w:pPr>
        <w:pStyle w:val="Normal"/>
        <w:numPr>
          <w:ilvl w:val="1"/>
          <w:numId w:val="3"/>
        </w:numPr>
        <w:jc w:val="both"/>
        <w:rPr>
          <w:b w:val="false"/>
          <w:sz w:val="22"/>
          <w:szCs w:val="22"/>
        </w:rPr>
      </w:pPr>
      <w:r>
        <w:rPr>
          <w:b w:val="false"/>
          <w:sz w:val="22"/>
          <w:szCs w:val="22"/>
        </w:rPr>
        <w:t>компенсаторен склад</w:t>
      </w:r>
    </w:p>
    <w:p>
      <w:pPr>
        <w:pStyle w:val="Normal"/>
        <w:numPr>
          <w:ilvl w:val="1"/>
          <w:numId w:val="3"/>
        </w:numPr>
        <w:jc w:val="both"/>
        <w:rPr>
          <w:b w:val="false"/>
          <w:sz w:val="22"/>
          <w:szCs w:val="22"/>
        </w:rPr>
      </w:pPr>
      <w:r>
        <w:rPr>
          <w:b w:val="false"/>
          <w:sz w:val="22"/>
          <w:szCs w:val="22"/>
        </w:rPr>
        <w:t>склад несъответстващи продукти</w:t>
      </w:r>
    </w:p>
    <w:p>
      <w:pPr>
        <w:pStyle w:val="Normal"/>
        <w:numPr>
          <w:ilvl w:val="1"/>
          <w:numId w:val="3"/>
        </w:numPr>
        <w:jc w:val="both"/>
        <w:rPr>
          <w:b w:val="false"/>
          <w:sz w:val="22"/>
          <w:szCs w:val="22"/>
        </w:rPr>
      </w:pPr>
      <w:r>
        <w:rPr>
          <w:b w:val="false"/>
          <w:sz w:val="22"/>
          <w:szCs w:val="22"/>
        </w:rPr>
        <w:t>склад консумативи за производство</w:t>
      </w:r>
    </w:p>
    <w:p>
      <w:pPr>
        <w:pStyle w:val="BodyTextIndent2"/>
        <w:ind w:firstLine="708" w:end="0"/>
        <w:rPr/>
      </w:pPr>
      <w:r>
        <w:rPr/>
        <w:t xml:space="preserve">Всички складови операции се отчитат от отговорниците за складовете/цеховете в системата за управление на бизнеса </w:t>
      </w:r>
      <w:r>
        <w:rPr>
          <w:lang w:val="en-US"/>
        </w:rPr>
        <w:t>Pantheon</w:t>
      </w:r>
      <w:r>
        <w:rPr/>
        <w:t>.</w:t>
      </w:r>
    </w:p>
    <w:p>
      <w:pPr>
        <w:pStyle w:val="BodyTextIndent2"/>
        <w:ind w:firstLine="708" w:end="0"/>
        <w:rPr/>
      </w:pPr>
      <w:r>
        <w:rPr/>
        <w:t xml:space="preserve"> </w:t>
      </w:r>
    </w:p>
    <w:p>
      <w:pPr>
        <w:pStyle w:val="BodyTextIndent2"/>
        <w:rPr/>
      </w:pPr>
      <w:r>
        <w:rPr/>
      </w:r>
    </w:p>
    <w:p>
      <w:pPr>
        <w:pStyle w:val="Heading2"/>
        <w:ind w:hanging="0" w:start="0"/>
        <w:rPr/>
      </w:pPr>
      <w:r>
        <w:rPr/>
        <w:t>4.6</w:t>
        <w:tab/>
        <w:t>Ресурси за наблюдение и измерване</w:t>
      </w:r>
    </w:p>
    <w:p>
      <w:pPr>
        <w:pStyle w:val="Normal"/>
        <w:rPr/>
      </w:pPr>
      <w:r>
        <w:rPr/>
      </w:r>
    </w:p>
    <w:p>
      <w:pPr>
        <w:pStyle w:val="BodyTextIndent2"/>
        <w:ind w:firstLine="708" w:end="0"/>
        <w:rPr/>
      </w:pPr>
      <w:r>
        <w:rPr/>
        <w:t xml:space="preserve">Технически средства за наблюдение и измерване (средства за проверка) са устройствата и инсталациите, които се употребяват за проверките на качеството, за да се гарантира постоянно високо здраве и безопасност при работа и постигане на съответствие на продукта, съответно изпълнение на работата при предоставянето на продукти.   </w:t>
      </w:r>
    </w:p>
    <w:p>
      <w:pPr>
        <w:pStyle w:val="BodyTextIndent2"/>
        <w:ind w:firstLine="708" w:end="0"/>
        <w:rPr/>
      </w:pPr>
      <w:r>
        <w:rPr/>
        <w:t>При подготовката и провеждането на производствения процес, при контрола и измерването в СМП ПЛЕВЕН ЕООД се използват средства за измерване (ТСИК), които гарантират постигането на съответствие с изискваща се точност за обекта на измерването, като всички средства  са сверявани и поправяни по необходимост и са така идентифицирани, че да е възможно определянето на метрологичната им годност.</w:t>
      </w:r>
    </w:p>
    <w:p>
      <w:pPr>
        <w:pStyle w:val="BodyTextIndent"/>
        <w:ind w:firstLine="708" w:start="0" w:end="0"/>
        <w:jc w:val="both"/>
        <w:rPr/>
      </w:pPr>
      <w:r>
        <w:rPr>
          <w:b w:val="false"/>
          <w:sz w:val="22"/>
        </w:rPr>
        <w:t xml:space="preserve">ТСИК се проверяват от Държавна агенция за метрология и технически надзор ; Главна дирекция “Мерки и измервателни уреди”. Всяка година, след изпращане на писмо, уредите подлежащи на проверка се калибрират и се обозначават със стикер, указващ тяхната годност. </w:t>
      </w:r>
    </w:p>
    <w:p>
      <w:pPr>
        <w:pStyle w:val="BodyTextIndent2"/>
        <w:ind w:firstLine="708" w:end="0"/>
        <w:rPr/>
      </w:pPr>
      <w:r>
        <w:rPr/>
        <w:t xml:space="preserve">Всички отдели и звена, имащи отношение към здравето и безопасността при работа на произвежданите във фирмата продукти  ползват тези технически средства за измерване (ТСИК). </w:t>
      </w:r>
    </w:p>
    <w:p>
      <w:pPr>
        <w:pStyle w:val="BodyTextIndent2"/>
        <w:ind w:firstLine="708" w:end="0"/>
        <w:rPr/>
      </w:pPr>
      <w:r>
        <w:rPr/>
        <w:t xml:space="preserve">Съхранението на работните ТСИК се осъществява на територията на работните участъци, а при началник цех се поддържа оперативен резерв от тях, като условията на съхранение съответстват на изискваният на производителя. </w:t>
      </w:r>
    </w:p>
    <w:p>
      <w:pPr>
        <w:pStyle w:val="BodyTextIndent2"/>
        <w:ind w:firstLine="708" w:end="0"/>
        <w:rPr/>
      </w:pPr>
      <w:r>
        <w:rPr/>
        <w:t xml:space="preserve"> </w:t>
      </w:r>
      <w:r>
        <w:rPr/>
        <w:t xml:space="preserve">ТСИК се записват в Ф4-21 Списък на техническите средства за измерване, като се отбелязва наименованието, идентификационния № , Клас на точност и отговорника.   </w:t>
      </w:r>
    </w:p>
    <w:p>
      <w:pPr>
        <w:pStyle w:val="BodyTextIndent2"/>
        <w:rPr>
          <w:color w:val="FF0000"/>
        </w:rPr>
      </w:pPr>
      <w:r>
        <w:rPr>
          <w:color w:val="FF0000"/>
        </w:rPr>
      </w:r>
    </w:p>
    <w:p>
      <w:pPr>
        <w:pStyle w:val="Heading2"/>
        <w:ind w:hanging="0" w:start="0"/>
        <w:rPr/>
      </w:pPr>
      <w:r>
        <w:rPr/>
        <w:t>4.7</w:t>
        <w:tab/>
        <w:t>Готовност и реагиране при извънредни ситуации</w:t>
      </w:r>
    </w:p>
    <w:p>
      <w:pPr>
        <w:pStyle w:val="BodyTextIndent2"/>
        <w:rPr>
          <w:b/>
          <w:sz w:val="24"/>
          <w:szCs w:val="24"/>
          <w:u w:val="single"/>
        </w:rPr>
      </w:pPr>
      <w:r>
        <w:rPr>
          <w:b/>
          <w:sz w:val="24"/>
          <w:szCs w:val="24"/>
          <w:u w:val="single"/>
        </w:rPr>
      </w:r>
    </w:p>
    <w:p>
      <w:pPr>
        <w:pStyle w:val="BodyTextIndent2"/>
        <w:ind w:firstLine="708" w:end="0"/>
        <w:rPr/>
      </w:pPr>
      <w:r>
        <w:rPr/>
        <w:t>Управлението на процеса е описано в ОП4-05 ”Планиране и действия при  извънредни ситуации”. Регламентирани са действията за реагиране при извънредни ситуации, за предотвратяване или смекчаване на вредните последици за безопасността и здравето и околната среда. Изготвен е Ф4-45 „План за действие при извънредни ситуации”, Ф4-46 „График за провеждане на практически упражнения за реагиране по време на извънредна ситуация” и Ф4-47 „Дневник за регистриране на инциденти и опасности”.</w:t>
      </w:r>
    </w:p>
    <w:p>
      <w:pPr>
        <w:pStyle w:val="BodyTextIndent2"/>
        <w:rPr/>
      </w:pPr>
      <w:r>
        <w:rPr/>
        <w:t xml:space="preserve">      </w:t>
      </w:r>
      <w:r>
        <w:rPr/>
        <w:t>Действията при аварийни ситуации са съобразени с Плановете за действие на съответната община и на работната площадка като цяло. Осигурено е взаимодействие с външните специализирани институции - всякаква информация, необходима за улесняване на тяхното участие в общите усилия и овладяване на извънредната ситуация.</w:t>
      </w:r>
    </w:p>
    <w:p>
      <w:pPr>
        <w:pStyle w:val="BodyTextIndent2"/>
        <w:rPr/>
      </w:pPr>
      <w:r>
        <w:rPr/>
      </w:r>
    </w:p>
    <w:p>
      <w:pPr>
        <w:pStyle w:val="BodyTextIndent2"/>
        <w:rPr/>
      </w:pPr>
      <w:r>
        <w:rPr/>
        <w:t xml:space="preserve">Документи по темата </w:t>
      </w:r>
    </w:p>
    <w:tbl>
      <w:tblPr>
        <w:tblW w:w="9302" w:type="dxa"/>
        <w:jc w:val="start"/>
        <w:tblInd w:w="70" w:type="dxa"/>
        <w:tblLayout w:type="fixed"/>
        <w:tblCellMar>
          <w:top w:w="0" w:type="dxa"/>
          <w:start w:w="70" w:type="dxa"/>
          <w:bottom w:w="0" w:type="dxa"/>
          <w:end w:w="70" w:type="dxa"/>
        </w:tblCellMar>
      </w:tblPr>
      <w:tblGrid>
        <w:gridCol w:w="5220"/>
        <w:gridCol w:w="4082"/>
      </w:tblGrid>
      <w:tr>
        <w:trPr/>
        <w:tc>
          <w:tcPr>
            <w:tcW w:w="5220" w:type="dxa"/>
            <w:tcBorders>
              <w:top w:val="single" w:sz="4" w:space="0" w:color="000000"/>
              <w:start w:val="single" w:sz="4" w:space="0" w:color="000000"/>
              <w:bottom w:val="single" w:sz="4" w:space="0" w:color="000000"/>
              <w:end w:val="single" w:sz="4" w:space="0" w:color="000000"/>
            </w:tcBorders>
          </w:tcPr>
          <w:p>
            <w:pPr>
              <w:pStyle w:val="BodyTextIndent2"/>
              <w:rPr/>
            </w:pPr>
            <w:r>
              <w:rPr/>
              <w:t>ОП4-02 ”Планиране и действия при извънредни ситуации”</w:t>
            </w:r>
          </w:p>
        </w:tc>
        <w:tc>
          <w:tcPr>
            <w:tcW w:w="4082" w:type="dxa"/>
            <w:tcBorders>
              <w:top w:val="single" w:sz="4" w:space="0" w:color="000000"/>
              <w:start w:val="single" w:sz="4" w:space="0" w:color="000000"/>
              <w:bottom w:val="single" w:sz="4" w:space="0" w:color="000000"/>
              <w:end w:val="single" w:sz="4" w:space="0" w:color="000000"/>
            </w:tcBorders>
          </w:tcPr>
          <w:p>
            <w:pPr>
              <w:pStyle w:val="BodyTextIndent2"/>
              <w:jc w:val="start"/>
              <w:rPr/>
            </w:pPr>
            <w:r>
              <w:rPr/>
              <w:t xml:space="preserve"> </w:t>
            </w:r>
          </w:p>
        </w:tc>
      </w:tr>
    </w:tbl>
    <w:p>
      <w:pPr>
        <w:pStyle w:val="BodyTextIndent2"/>
        <w:rPr>
          <w:color w:val="FF0000"/>
        </w:rPr>
      </w:pPr>
      <w:r>
        <w:rPr>
          <w:color w:val="FF0000"/>
        </w:rPr>
      </w:r>
    </w:p>
    <w:p>
      <w:pPr>
        <w:pStyle w:val="BodyTextIndent2"/>
        <w:rPr>
          <w:color w:val="FF0000"/>
        </w:rPr>
      </w:pPr>
      <w:r>
        <w:rPr>
          <w:color w:val="FF0000"/>
        </w:rPr>
      </w:r>
    </w:p>
    <w:p>
      <w:pPr>
        <w:pStyle w:val="BodyTextIndent2"/>
        <w:rPr>
          <w:color w:val="FF0000"/>
        </w:rPr>
      </w:pPr>
      <w:r>
        <w:rPr>
          <w:color w:val="FF0000"/>
        </w:rPr>
      </w:r>
    </w:p>
    <w:p>
      <w:pPr>
        <w:pStyle w:val="BodyTextIndent2"/>
        <w:rPr>
          <w:color w:val="FF0000"/>
        </w:rPr>
      </w:pPr>
      <w:r>
        <w:rPr>
          <w:color w:val="FF0000"/>
        </w:rPr>
      </w:r>
    </w:p>
    <w:p>
      <w:pPr>
        <w:pStyle w:val="BodyTextIndent2"/>
        <w:rPr>
          <w:color w:val="FF0000"/>
        </w:rPr>
      </w:pPr>
      <w:r>
        <w:rPr>
          <w:color w:val="FF0000"/>
        </w:rPr>
      </w:r>
    </w:p>
    <w:p>
      <w:pPr>
        <w:pStyle w:val="BodyTextIndent2"/>
        <w:rPr>
          <w:color w:val="FF0000"/>
        </w:rPr>
      </w:pPr>
      <w:r>
        <w:rPr>
          <w:color w:val="FF0000"/>
        </w:rPr>
      </w:r>
    </w:p>
    <w:p>
      <w:pPr>
        <w:pStyle w:val="BodyTextIndent2"/>
        <w:rPr>
          <w:color w:val="FF0000"/>
        </w:rPr>
      </w:pPr>
      <w:r>
        <w:rPr>
          <w:color w:val="FF0000"/>
        </w:rPr>
      </w:r>
    </w:p>
    <w:p>
      <w:pPr>
        <w:pStyle w:val="BodyTextIndent2"/>
        <w:rPr>
          <w:color w:val="FF0000"/>
        </w:rPr>
      </w:pPr>
      <w:r>
        <w:rPr>
          <w:color w:val="FF0000"/>
        </w:rPr>
      </w:r>
    </w:p>
    <w:p>
      <w:pPr>
        <w:pStyle w:val="BodyTextIndent2"/>
        <w:rPr>
          <w:color w:val="FF0000"/>
        </w:rPr>
      </w:pPr>
      <w:r>
        <w:rPr>
          <w:color w:val="FF0000"/>
        </w:rPr>
      </w:r>
    </w:p>
    <w:tbl>
      <w:tblPr>
        <w:tblW w:w="9645" w:type="dxa"/>
        <w:jc w:val="start"/>
        <w:tblInd w:w="-176" w:type="dxa"/>
        <w:tblLayout w:type="fixed"/>
        <w:tblCellMar>
          <w:top w:w="0" w:type="dxa"/>
          <w:start w:w="108" w:type="dxa"/>
          <w:bottom w:w="0" w:type="dxa"/>
          <w:end w:w="108" w:type="dxa"/>
        </w:tblCellMar>
      </w:tblPr>
      <w:tblGrid>
        <w:gridCol w:w="5104"/>
        <w:gridCol w:w="4541"/>
      </w:tblGrid>
      <w:tr>
        <w:trPr/>
        <w:tc>
          <w:tcPr>
            <w:tcW w:w="5104" w:type="dxa"/>
            <w:tcBorders>
              <w:top w:val="single" w:sz="4" w:space="0" w:color="000000"/>
              <w:start w:val="single" w:sz="4" w:space="0" w:color="000000"/>
              <w:bottom w:val="single" w:sz="4" w:space="0" w:color="000000"/>
              <w:end w:val="single" w:sz="4" w:space="0" w:color="000000"/>
            </w:tcBorders>
          </w:tcPr>
          <w:p>
            <w:pPr>
              <w:pStyle w:val="Normal"/>
              <w:rPr>
                <w:b w:val="false"/>
                <w:sz w:val="22"/>
              </w:rPr>
            </w:pPr>
            <w:r>
              <w:rPr>
                <w:b w:val="false"/>
                <w:sz w:val="22"/>
              </w:rPr>
              <w:t>Изготвил:, ……………</w:t>
            </w:r>
          </w:p>
        </w:tc>
        <w:tc>
          <w:tcPr>
            <w:tcW w:w="4541" w:type="dxa"/>
            <w:tcBorders>
              <w:top w:val="single" w:sz="4" w:space="0" w:color="000000"/>
              <w:start w:val="single" w:sz="4" w:space="0" w:color="000000"/>
              <w:bottom w:val="single" w:sz="4" w:space="0" w:color="000000"/>
              <w:end w:val="single" w:sz="4" w:space="0" w:color="000000"/>
            </w:tcBorders>
          </w:tcPr>
          <w:p>
            <w:pPr>
              <w:pStyle w:val="Normal"/>
              <w:rPr>
                <w:b w:val="false"/>
                <w:sz w:val="22"/>
              </w:rPr>
            </w:pPr>
            <w:r>
              <w:rPr>
                <w:b w:val="false"/>
                <w:sz w:val="22"/>
              </w:rPr>
              <w:t>Утвърдил:, ……………</w:t>
            </w:r>
          </w:p>
        </w:tc>
      </w:tr>
      <w:tr>
        <w:trPr/>
        <w:tc>
          <w:tcPr>
            <w:tcW w:w="5104" w:type="dxa"/>
            <w:tcBorders>
              <w:top w:val="single" w:sz="4" w:space="0" w:color="000000"/>
              <w:start w:val="single" w:sz="4" w:space="0" w:color="000000"/>
              <w:bottom w:val="single" w:sz="4" w:space="0" w:color="000000"/>
              <w:end w:val="single" w:sz="4" w:space="0" w:color="000000"/>
            </w:tcBorders>
          </w:tcPr>
          <w:p>
            <w:pPr>
              <w:pStyle w:val="Normal"/>
              <w:rPr/>
            </w:pPr>
            <w:r>
              <w:rPr>
                <w:b w:val="false"/>
                <w:sz w:val="22"/>
              </w:rPr>
              <w:t>Дата: 12.01.2026 г.</w:t>
            </w:r>
          </w:p>
        </w:tc>
        <w:tc>
          <w:tcPr>
            <w:tcW w:w="4541" w:type="dxa"/>
            <w:tcBorders>
              <w:top w:val="single" w:sz="4" w:space="0" w:color="000000"/>
              <w:start w:val="single" w:sz="4" w:space="0" w:color="000000"/>
              <w:bottom w:val="single" w:sz="4" w:space="0" w:color="000000"/>
              <w:end w:val="single" w:sz="4" w:space="0" w:color="000000"/>
            </w:tcBorders>
          </w:tcPr>
          <w:p>
            <w:pPr>
              <w:pStyle w:val="Normal"/>
              <w:rPr/>
            </w:pPr>
            <w:r>
              <w:rPr>
                <w:b w:val="false"/>
                <w:sz w:val="22"/>
              </w:rPr>
              <w:t>Дата: 12.01.2026 г.</w:t>
            </w:r>
          </w:p>
        </w:tc>
      </w:tr>
    </w:tbl>
    <w:p>
      <w:pPr>
        <w:pStyle w:val="BodyTextIndent2"/>
        <w:rPr>
          <w:color w:val="FF0000"/>
        </w:rPr>
      </w:pPr>
      <w:r>
        <w:rPr>
          <w:color w:val="FF0000"/>
        </w:rPr>
      </w:r>
    </w:p>
    <w:sectPr>
      <w:headerReference w:type="default" r:id="rId2"/>
      <w:footerReference w:type="default" r:id="rId3"/>
      <w:type w:val="nextPage"/>
      <w:pgSz w:w="11906" w:h="16838"/>
      <w:pgMar w:left="1417" w:right="1417" w:gutter="0" w:header="720" w:top="1417" w:footer="720" w:bottom="170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cc" w:characterSet="windows-1251"/>
    <w:family w:val="swiss"/>
    <w:pitch w:val="variable"/>
  </w:font>
  <w:font w:name="Courier New">
    <w:charset w:val="cc" w:characterSet="windows-125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00" w:type="dxa"/>
      <w:jc w:val="start"/>
      <w:tblInd w:w="70" w:type="dxa"/>
      <w:tblLayout w:type="fixed"/>
      <w:tblCellMar>
        <w:top w:w="0" w:type="dxa"/>
        <w:start w:w="70" w:type="dxa"/>
        <w:bottom w:w="0" w:type="dxa"/>
        <w:end w:w="70" w:type="dxa"/>
      </w:tblCellMar>
    </w:tblPr>
    <w:tblGrid>
      <w:gridCol w:w="2950"/>
      <w:gridCol w:w="3780"/>
      <w:gridCol w:w="2270"/>
    </w:tblGrid>
    <w:tr>
      <w:trPr>
        <w:cantSplit/>
      </w:trPr>
      <w:tc>
        <w:tcPr>
          <w:tcW w:w="2950" w:type="dxa"/>
          <w:tcBorders>
            <w:top w:val="single" w:sz="6" w:space="0" w:color="000000"/>
          </w:tcBorders>
        </w:tcPr>
        <w:p>
          <w:pPr>
            <w:pStyle w:val="Footer"/>
            <w:snapToGrid w:val="false"/>
            <w:rPr>
              <w:b w:val="false"/>
              <w:sz w:val="20"/>
            </w:rPr>
          </w:pPr>
          <w:r>
            <w:rPr>
              <w:b w:val="false"/>
              <w:sz w:val="20"/>
            </w:rPr>
          </w:r>
        </w:p>
      </w:tc>
      <w:tc>
        <w:tcPr>
          <w:tcW w:w="3780" w:type="dxa"/>
          <w:tcBorders>
            <w:top w:val="single" w:sz="6" w:space="0" w:color="000000"/>
          </w:tcBorders>
        </w:tcPr>
        <w:p>
          <w:pPr>
            <w:pStyle w:val="Footer"/>
            <w:snapToGrid w:val="false"/>
            <w:jc w:val="center"/>
            <w:rPr>
              <w:b w:val="false"/>
              <w:sz w:val="20"/>
            </w:rPr>
          </w:pPr>
          <w:r>
            <w:rPr>
              <w:b w:val="false"/>
              <w:sz w:val="20"/>
            </w:rPr>
          </w:r>
        </w:p>
      </w:tc>
      <w:tc>
        <w:tcPr>
          <w:tcW w:w="2270" w:type="dxa"/>
          <w:tcBorders>
            <w:top w:val="single" w:sz="6" w:space="0" w:color="000000"/>
          </w:tcBorders>
        </w:tcPr>
        <w:p>
          <w:pPr>
            <w:pStyle w:val="Footer"/>
            <w:rPr>
              <w:b w:val="false"/>
              <w:sz w:val="20"/>
            </w:rPr>
          </w:pPr>
          <w:r>
            <w:rPr>
              <w:b w:val="false"/>
              <w:sz w:val="20"/>
            </w:rPr>
            <w:t xml:space="preserve">Стр.: </w:t>
          </w:r>
          <w:r>
            <w:rPr>
              <w:b w:val="false"/>
              <w:sz w:val="20"/>
            </w:rPr>
            <w:fldChar w:fldCharType="begin"/>
          </w:r>
          <w:r>
            <w:rPr>
              <w:b w:val="false"/>
              <w:sz w:val="20"/>
            </w:rPr>
            <w:instrText xml:space="preserve"> PAGE </w:instrText>
          </w:r>
          <w:r>
            <w:rPr>
              <w:b w:val="false"/>
              <w:sz w:val="20"/>
            </w:rPr>
            <w:fldChar w:fldCharType="separate"/>
          </w:r>
          <w:r>
            <w:rPr>
              <w:b w:val="false"/>
              <w:sz w:val="20"/>
            </w:rPr>
            <w:t>8</w:t>
          </w:r>
          <w:r>
            <w:rPr>
              <w:b w:val="false"/>
              <w:sz w:val="20"/>
            </w:rPr>
            <w:fldChar w:fldCharType="end"/>
          </w:r>
          <w:r>
            <w:rPr>
              <w:b w:val="false"/>
              <w:sz w:val="20"/>
            </w:rPr>
            <w:t xml:space="preserve"> от </w:t>
          </w:r>
          <w:r>
            <w:rPr>
              <w:b w:val="false"/>
              <w:sz w:val="20"/>
            </w:rPr>
            <w:fldChar w:fldCharType="begin"/>
          </w:r>
          <w:r>
            <w:rPr>
              <w:b w:val="false"/>
              <w:sz w:val="20"/>
            </w:rPr>
            <w:instrText xml:space="preserve"> NUMPAGES \* ARABIC </w:instrText>
          </w:r>
          <w:r>
            <w:rPr>
              <w:b w:val="false"/>
              <w:sz w:val="20"/>
            </w:rPr>
            <w:fldChar w:fldCharType="separate"/>
          </w:r>
          <w:r>
            <w:rPr>
              <w:b w:val="false"/>
              <w:sz w:val="20"/>
            </w:rPr>
            <w:t>8</w:t>
          </w:r>
          <w:r>
            <w:rPr>
              <w:b w:val="false"/>
              <w:sz w:val="20"/>
            </w:rPr>
            <w:fldChar w:fldCharType="end"/>
          </w:r>
        </w:p>
      </w:tc>
    </w:tr>
    <w:tr>
      <w:trPr>
        <w:trHeight w:val="287" w:hRule="atLeast"/>
        <w:cantSplit/>
      </w:trPr>
      <w:tc>
        <w:tcPr>
          <w:tcW w:w="2950" w:type="dxa"/>
          <w:tcBorders/>
        </w:tcPr>
        <w:p>
          <w:pPr>
            <w:pStyle w:val="Footer"/>
            <w:rPr>
              <w:b w:val="false"/>
              <w:sz w:val="20"/>
            </w:rPr>
          </w:pPr>
          <w:r>
            <w:rPr>
              <w:b w:val="false"/>
              <w:sz w:val="20"/>
            </w:rPr>
            <w:t>Ревизия 01</w:t>
          </w:r>
        </w:p>
      </w:tc>
      <w:tc>
        <w:tcPr>
          <w:tcW w:w="3780" w:type="dxa"/>
          <w:tcBorders/>
        </w:tcPr>
        <w:p>
          <w:pPr>
            <w:pStyle w:val="Footer"/>
            <w:snapToGrid w:val="false"/>
            <w:rPr>
              <w:b w:val="false"/>
              <w:sz w:val="20"/>
            </w:rPr>
          </w:pPr>
          <w:r>
            <w:rPr>
              <w:b w:val="false"/>
              <w:sz w:val="20"/>
            </w:rPr>
          </w:r>
        </w:p>
      </w:tc>
      <w:tc>
        <w:tcPr>
          <w:tcW w:w="2270" w:type="dxa"/>
          <w:tcBorders/>
        </w:tcPr>
        <w:p>
          <w:pPr>
            <w:pStyle w:val="Footer"/>
            <w:rPr/>
          </w:pPr>
          <w:r>
            <w:rPr>
              <w:b w:val="false"/>
              <w:sz w:val="20"/>
            </w:rPr>
            <w:t>Дата: 12.01.2026 г.</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62" w:type="dxa"/>
      <w:jc w:val="center"/>
      <w:tblInd w:w="0" w:type="dxa"/>
      <w:tblLayout w:type="fixed"/>
      <w:tblCellMar>
        <w:top w:w="0" w:type="dxa"/>
        <w:start w:w="71" w:type="dxa"/>
        <w:bottom w:w="0" w:type="dxa"/>
        <w:end w:w="71" w:type="dxa"/>
      </w:tblCellMar>
    </w:tblPr>
    <w:tblGrid>
      <w:gridCol w:w="2385"/>
      <w:gridCol w:w="5040"/>
      <w:gridCol w:w="1737"/>
    </w:tblGrid>
    <w:tr>
      <w:trPr>
        <w:trHeight w:val="723" w:hRule="exact"/>
      </w:trPr>
      <w:tc>
        <w:tcPr>
          <w:tcW w:w="2385" w:type="dxa"/>
          <w:vMerge w:val="restart"/>
          <w:tcBorders>
            <w:top w:val="single" w:sz="6" w:space="0" w:color="000000"/>
            <w:start w:val="single" w:sz="6" w:space="0" w:color="000000"/>
            <w:bottom w:val="single" w:sz="6" w:space="0" w:color="000000"/>
            <w:end w:val="single" w:sz="4" w:space="0" w:color="000000"/>
          </w:tcBorders>
          <w:shd w:fill="FFFFFF" w:val="clear"/>
          <w:vAlign w:val="center"/>
        </w:tcPr>
        <w:p>
          <w:pPr>
            <w:pStyle w:val="Normal"/>
            <w:jc w:val="center"/>
            <w:rPr>
              <w:rFonts w:cs="Arial"/>
              <w:szCs w:val="24"/>
            </w:rPr>
          </w:pPr>
          <w:r>
            <w:rPr>
              <w:rFonts w:cs="Arial"/>
              <w:szCs w:val="24"/>
            </w:rPr>
            <w:t>СМП ПЛЕВЕН ЕООД</w:t>
          </w:r>
        </w:p>
      </w:tc>
      <w:tc>
        <w:tcPr>
          <w:tcW w:w="5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val="false"/>
              <w:sz w:val="28"/>
            </w:rPr>
          </w:pPr>
          <w:r>
            <w:rPr>
              <w:sz w:val="28"/>
            </w:rPr>
            <w:t>Наръчник</w:t>
          </w:r>
        </w:p>
      </w:tc>
      <w:tc>
        <w:tcPr>
          <w:tcW w:w="1737" w:type="dxa"/>
          <w:vMerge w:val="restart"/>
          <w:tcBorders>
            <w:top w:val="single" w:sz="6" w:space="0" w:color="000000"/>
            <w:start w:val="single" w:sz="4" w:space="0" w:color="000000"/>
            <w:bottom w:val="single" w:sz="6" w:space="0" w:color="000000"/>
            <w:end w:val="single" w:sz="6" w:space="0" w:color="000000"/>
          </w:tcBorders>
          <w:shd w:fill="FFFFFF" w:val="clear"/>
          <w:vAlign w:val="center"/>
        </w:tcPr>
        <w:p>
          <w:pPr>
            <w:pStyle w:val="Normal"/>
            <w:jc w:val="center"/>
            <w:rPr>
              <w:b w:val="false"/>
              <w:lang w:val="en-US"/>
            </w:rPr>
          </w:pPr>
          <w:r>
            <w:rPr>
              <w:b w:val="false"/>
            </w:rPr>
            <w:t>док. ном.:</w:t>
          </w:r>
        </w:p>
        <w:p>
          <w:pPr>
            <w:pStyle w:val="Normal"/>
            <w:jc w:val="center"/>
            <w:rPr>
              <w:b w:val="false"/>
            </w:rPr>
          </w:pPr>
          <w:r>
            <w:rPr>
              <w:b w:val="false"/>
            </w:rPr>
            <w:t>ИН4</w:t>
          </w:r>
        </w:p>
      </w:tc>
    </w:tr>
    <w:tr>
      <w:trPr>
        <w:trHeight w:val="672" w:hRule="exact"/>
      </w:trPr>
      <w:tc>
        <w:tcPr>
          <w:tcW w:w="2385" w:type="dxa"/>
          <w:vMerge w:val="continue"/>
          <w:tcBorders>
            <w:top w:val="single" w:sz="6" w:space="0" w:color="000000"/>
            <w:start w:val="single" w:sz="6" w:space="0" w:color="000000"/>
            <w:bottom w:val="single" w:sz="6" w:space="0" w:color="000000"/>
            <w:end w:val="single" w:sz="4" w:space="0" w:color="000000"/>
          </w:tcBorders>
          <w:shd w:fill="FFFFFF" w:val="clear"/>
          <w:vAlign w:val="center"/>
        </w:tcPr>
        <w:p>
          <w:pPr>
            <w:pStyle w:val="Normal"/>
            <w:snapToGrid w:val="false"/>
            <w:jc w:val="center"/>
            <w:rPr>
              <w:b w:val="false"/>
            </w:rPr>
          </w:pPr>
          <w:r>
            <w:rPr>
              <w:b w:val="false"/>
            </w:rPr>
          </w:r>
        </w:p>
      </w:tc>
      <w:tc>
        <w:tcPr>
          <w:tcW w:w="504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3160" w:leader="none"/>
            </w:tabs>
            <w:jc w:val="center"/>
            <w:rPr>
              <w:sz w:val="28"/>
            </w:rPr>
          </w:pPr>
          <w:r>
            <w:rPr>
              <w:sz w:val="28"/>
            </w:rPr>
            <w:t>Дейности</w:t>
          </w:r>
        </w:p>
      </w:tc>
      <w:tc>
        <w:tcPr>
          <w:tcW w:w="1737" w:type="dxa"/>
          <w:vMerge w:val="continue"/>
          <w:tcBorders>
            <w:top w:val="single" w:sz="6" w:space="0" w:color="000000"/>
            <w:start w:val="single" w:sz="4" w:space="0" w:color="000000"/>
            <w:bottom w:val="single" w:sz="6" w:space="0" w:color="000000"/>
            <w:end w:val="single" w:sz="6" w:space="0" w:color="000000"/>
          </w:tcBorders>
          <w:shd w:fill="FFFFFF" w:val="clear"/>
          <w:vAlign w:val="center"/>
        </w:tcPr>
        <w:p>
          <w:pPr>
            <w:pStyle w:val="Normal"/>
            <w:snapToGrid w:val="false"/>
            <w:jc w:val="center"/>
            <w:rPr>
              <w:b w:val="false"/>
              <w:sz w:val="28"/>
            </w:rPr>
          </w:pPr>
          <w:r>
            <w:rPr>
              <w:b w:val="false"/>
              <w:sz w:val="28"/>
            </w:rPr>
          </w:r>
        </w:p>
      </w:tc>
    </w:tr>
  </w:tbl>
  <w:p>
    <w:pPr>
      <w:pStyle w:val="Header"/>
      <w:tabs>
        <w:tab w:val="clear" w:pos="4536"/>
        <w:tab w:val="clear" w:pos="9072"/>
      </w:tab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color w:val="000000"/>
      </w:rPr>
    </w:lvl>
  </w:abstractNum>
  <w:abstractNum w:abstractNumId="3">
    <w:lvl w:ilvl="0">
      <w:start w:val="1"/>
      <w:numFmt w:val="bullet"/>
      <w:lvlText w:val=""/>
      <w:lvlJc w:val="start"/>
      <w:pPr>
        <w:tabs>
          <w:tab w:val="num" w:pos="1068"/>
        </w:tabs>
        <w:ind w:start="1068" w:hanging="360"/>
      </w:pPr>
      <w:rPr>
        <w:rFonts w:ascii="Symbol" w:hAnsi="Symbol" w:cs="Symbol" w:hint="default"/>
        <w:color w:val="000000"/>
      </w:rPr>
    </w:lvl>
    <w:lvl w:ilvl="1">
      <w:start w:val="1"/>
      <w:numFmt w:val="bullet"/>
      <w:lvlText w:val="o"/>
      <w:lvlJc w:val="start"/>
      <w:pPr>
        <w:tabs>
          <w:tab w:val="num" w:pos="1788"/>
        </w:tabs>
        <w:ind w:start="1788" w:hanging="360"/>
      </w:pPr>
      <w:rPr>
        <w:rFonts w:ascii="Courier New" w:hAnsi="Courier New" w:cs="Courier New" w:hint="default"/>
      </w:rPr>
    </w:lvl>
    <w:lvl w:ilvl="2">
      <w:start w:val="1"/>
      <w:numFmt w:val="bullet"/>
      <w:lvlText w:val=""/>
      <w:lvlJc w:val="start"/>
      <w:pPr>
        <w:tabs>
          <w:tab w:val="num" w:pos="2508"/>
        </w:tabs>
        <w:ind w:start="2508" w:hanging="360"/>
      </w:pPr>
      <w:rPr>
        <w:rFonts w:ascii="Wingdings" w:hAnsi="Wingdings" w:cs="Wingdings" w:hint="default"/>
      </w:rPr>
    </w:lvl>
    <w:lvl w:ilvl="3">
      <w:start w:val="1"/>
      <w:numFmt w:val="bullet"/>
      <w:lvlText w:val=""/>
      <w:lvlJc w:val="start"/>
      <w:pPr>
        <w:tabs>
          <w:tab w:val="num" w:pos="3228"/>
        </w:tabs>
        <w:ind w:start="3228" w:hanging="360"/>
      </w:pPr>
      <w:rPr>
        <w:rFonts w:ascii="Symbol" w:hAnsi="Symbol" w:cs="Symbol" w:hint="default"/>
      </w:rPr>
    </w:lvl>
    <w:lvl w:ilvl="4">
      <w:start w:val="1"/>
      <w:numFmt w:val="bullet"/>
      <w:lvlText w:val="o"/>
      <w:lvlJc w:val="start"/>
      <w:pPr>
        <w:tabs>
          <w:tab w:val="num" w:pos="3948"/>
        </w:tabs>
        <w:ind w:start="3948" w:hanging="360"/>
      </w:pPr>
      <w:rPr>
        <w:rFonts w:ascii="Courier New" w:hAnsi="Courier New" w:cs="Courier New" w:hint="default"/>
      </w:rPr>
    </w:lvl>
    <w:lvl w:ilvl="5">
      <w:start w:val="1"/>
      <w:numFmt w:val="bullet"/>
      <w:lvlText w:val=""/>
      <w:lvlJc w:val="start"/>
      <w:pPr>
        <w:tabs>
          <w:tab w:val="num" w:pos="4668"/>
        </w:tabs>
        <w:ind w:start="4668" w:hanging="360"/>
      </w:pPr>
      <w:rPr>
        <w:rFonts w:ascii="Wingdings" w:hAnsi="Wingdings" w:cs="Wingdings" w:hint="default"/>
      </w:rPr>
    </w:lvl>
    <w:lvl w:ilvl="6">
      <w:start w:val="1"/>
      <w:numFmt w:val="bullet"/>
      <w:lvlText w:val=""/>
      <w:lvlJc w:val="start"/>
      <w:pPr>
        <w:tabs>
          <w:tab w:val="num" w:pos="5388"/>
        </w:tabs>
        <w:ind w:start="5388" w:hanging="360"/>
      </w:pPr>
      <w:rPr>
        <w:rFonts w:ascii="Symbol" w:hAnsi="Symbol" w:cs="Symbol" w:hint="default"/>
      </w:rPr>
    </w:lvl>
    <w:lvl w:ilvl="7">
      <w:start w:val="1"/>
      <w:numFmt w:val="bullet"/>
      <w:lvlText w:val="o"/>
      <w:lvlJc w:val="start"/>
      <w:pPr>
        <w:tabs>
          <w:tab w:val="num" w:pos="6108"/>
        </w:tabs>
        <w:ind w:start="6108" w:hanging="360"/>
      </w:pPr>
      <w:rPr>
        <w:rFonts w:ascii="Courier New" w:hAnsi="Courier New" w:cs="Courier New" w:hint="default"/>
      </w:rPr>
    </w:lvl>
    <w:lvl w:ilvl="8">
      <w:start w:val="1"/>
      <w:numFmt w:val="bullet"/>
      <w:lvlText w:val=""/>
      <w:lvlJc w:val="start"/>
      <w:pPr>
        <w:tabs>
          <w:tab w:val="num" w:pos="6828"/>
        </w:tabs>
        <w:ind w:start="6828" w:hanging="360"/>
      </w:pPr>
      <w:rPr>
        <w:rFonts w:ascii="Wingdings" w:hAnsi="Wingdings" w:cs="Wingdings" w:hint="default"/>
      </w:rPr>
    </w:lvl>
  </w:abstractNum>
  <w:abstractNum w:abstractNumId="4">
    <w:lvl w:ilvl="0">
      <w:start w:val="1"/>
      <w:numFmt w:val="bullet"/>
      <w:lvlText w:val=""/>
      <w:lvlJc w:val="start"/>
      <w:pPr>
        <w:tabs>
          <w:tab w:val="num" w:pos="1428"/>
        </w:tabs>
        <w:ind w:start="1428" w:hanging="360"/>
      </w:pPr>
      <w:rPr>
        <w:rFonts w:ascii="Symbol" w:hAnsi="Symbol" w:cs="Symbol" w:hint="default"/>
        <w:color w:val="000000"/>
      </w:rPr>
    </w:lvl>
  </w:abstractNum>
  <w:abstractNum w:abstractNumId="5">
    <w:lvl w:ilvl="0">
      <w:start w:val="1"/>
      <w:numFmt w:val="bullet"/>
      <w:lvlText w:val=""/>
      <w:lvlJc w:val="start"/>
      <w:pPr>
        <w:tabs>
          <w:tab w:val="num" w:pos="720"/>
        </w:tabs>
        <w:ind w:start="720" w:hanging="360"/>
      </w:pPr>
      <w:rPr>
        <w:rFonts w:ascii="Symbol" w:hAnsi="Symbol" w:cs="Symbol" w:hint="default"/>
        <w:color w:val="000000"/>
      </w:rPr>
    </w:lvl>
  </w:abstractNum>
  <w:abstractNum w:abstractNumId="6">
    <w:lvl w:ilvl="0">
      <w:start w:val="1"/>
      <w:numFmt w:val="bullet"/>
      <w:lvlText w:val=""/>
      <w:lvlJc w:val="start"/>
      <w:pPr>
        <w:tabs>
          <w:tab w:val="num" w:pos="1068"/>
        </w:tabs>
        <w:ind w:start="1068" w:hanging="360"/>
      </w:pPr>
      <w:rPr>
        <w:rFonts w:ascii="Symbol" w:hAnsi="Symbol" w:cs="Symbol" w:hint="default"/>
      </w:rPr>
    </w:lvl>
  </w:abstractNum>
  <w:abstractNum w:abstractNumId="7">
    <w:lvl w:ilvl="0">
      <w:start w:val="1"/>
      <w:numFmt w:val="bullet"/>
      <w:lvlText w:val=""/>
      <w:lvlJc w:val="start"/>
      <w:pPr>
        <w:tabs>
          <w:tab w:val="num" w:pos="360"/>
        </w:tabs>
        <w:ind w:start="36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color w:val="000000"/>
      </w:rPr>
    </w:lvl>
  </w:abstractNum>
  <w:abstractNum w:abstractNumId="9">
    <w:lvl w:ilvl="0">
      <w:start w:val="1"/>
      <w:numFmt w:val="bullet"/>
      <w:lvlText w:val=""/>
      <w:lvlJc w:val="start"/>
      <w:pPr>
        <w:tabs>
          <w:tab w:val="num" w:pos="720"/>
        </w:tabs>
        <w:ind w:start="720" w:hanging="360"/>
      </w:pPr>
      <w:rPr>
        <w:rFonts w:ascii="Symbol" w:hAnsi="Symbol" w:cs="Symbol" w:hint="default"/>
        <w:color w:val="000000"/>
      </w:rPr>
    </w:lvl>
  </w:abstractNum>
  <w:abstractNum w:abstractNumId="10">
    <w:lvl w:ilvl="0">
      <w:start w:val="1"/>
      <w:numFmt w:val="bullet"/>
      <w:lvlText w:val=""/>
      <w:lvlJc w:val="start"/>
      <w:pPr>
        <w:tabs>
          <w:tab w:val="num" w:pos="1068"/>
        </w:tabs>
        <w:ind w:start="1068" w:hanging="360"/>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Arial" w:hAnsi="Arial" w:eastAsia="Times New Roman" w:cs="Arial"/>
      <w:b/>
      <w:color w:val="auto"/>
      <w:sz w:val="24"/>
      <w:szCs w:val="20"/>
      <w:lang w:bidi="he-IL" w:val="bg-BG" w:eastAsia="zh-CN"/>
    </w:rPr>
  </w:style>
  <w:style w:type="paragraph" w:styleId="Heading1">
    <w:name w:val="heading 1"/>
    <w:basedOn w:val="Normal"/>
    <w:next w:val="Normal"/>
    <w:qFormat/>
    <w:pPr>
      <w:keepNext w:val="true"/>
      <w:numPr>
        <w:ilvl w:val="0"/>
        <w:numId w:val="1"/>
      </w:numPr>
      <w:tabs>
        <w:tab w:val="clear" w:pos="708"/>
        <w:tab w:val="left" w:pos="1134" w:leader="none"/>
      </w:tabs>
      <w:outlineLvl w:val="0"/>
    </w:pPr>
    <w:rPr>
      <w:sz w:val="28"/>
    </w:rPr>
  </w:style>
  <w:style w:type="paragraph" w:styleId="Heading2">
    <w:name w:val="heading 2"/>
    <w:basedOn w:val="Normal"/>
    <w:next w:val="Normal"/>
    <w:qFormat/>
    <w:pPr>
      <w:keepNext w:val="true"/>
      <w:numPr>
        <w:ilvl w:val="1"/>
        <w:numId w:val="1"/>
      </w:numPr>
      <w:tabs>
        <w:tab w:val="clear" w:pos="708"/>
        <w:tab w:val="left" w:pos="1134" w:leader="none"/>
      </w:tabs>
      <w:outlineLvl w:val="1"/>
    </w:pPr>
    <w:rPr>
      <w:sz w:val="28"/>
    </w:rPr>
  </w:style>
  <w:style w:type="paragraph" w:styleId="Heading3">
    <w:name w:val="heading 3"/>
    <w:basedOn w:val="Normal"/>
    <w:next w:val="Normal"/>
    <w:qFormat/>
    <w:pPr>
      <w:keepNext w:val="true"/>
      <w:numPr>
        <w:ilvl w:val="2"/>
        <w:numId w:val="1"/>
      </w:numPr>
      <w:outlineLvl w:val="2"/>
    </w:pPr>
    <w:rPr>
      <w:szCs w:val="24"/>
      <w:u w:val="single"/>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color w:val="000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color w:val="00000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color w:val="000000"/>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BodyText3Char">
    <w:name w:val="Body Text 3 Char"/>
    <w:qFormat/>
    <w:rPr>
      <w:rFonts w:ascii="Arial" w:hAnsi="Arial" w:cs="Arial"/>
      <w:b/>
      <w:sz w:val="16"/>
      <w:szCs w:val="16"/>
      <w:lang w:bidi="he-IL"/>
    </w:rPr>
  </w:style>
  <w:style w:type="paragraph" w:styleId="Style11">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center"/>
    </w:pPr>
    <w:rPr>
      <w:sz w:val="2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
    <w:basedOn w:val="Normal"/>
    <w:qFormat/>
    <w:pPr>
      <w:suppressLineNumbers/>
    </w:pPr>
    <w:rPr>
      <w:rFonts w:cs="Arial"/>
    </w:rPr>
  </w:style>
  <w:style w:type="paragraph" w:styleId="Style13">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2">
    <w:name w:val="Body Text Indent 2"/>
    <w:basedOn w:val="Normal"/>
    <w:qFormat/>
    <w:pPr>
      <w:jc w:val="both"/>
    </w:pPr>
    <w:rPr>
      <w:b w:val="false"/>
      <w:sz w:val="22"/>
    </w:rPr>
  </w:style>
  <w:style w:type="paragraph" w:styleId="BodyText281">
    <w:name w:val="Body Text 281"/>
    <w:basedOn w:val="Normal"/>
    <w:qFormat/>
    <w:pPr>
      <w:jc w:val="center"/>
    </w:pPr>
    <w:rPr/>
  </w:style>
  <w:style w:type="paragraph" w:styleId="BodyTextIndent">
    <w:name w:val="Body Text Indent"/>
    <w:basedOn w:val="Normal"/>
    <w:pPr>
      <w:spacing w:before="0" w:after="120"/>
      <w:ind w:hanging="0" w:start="283" w:end="0"/>
    </w:pPr>
    <w:rPr/>
  </w:style>
  <w:style w:type="paragraph" w:styleId="BodyText2">
    <w:name w:val="Body Text 2"/>
    <w:basedOn w:val="Normal"/>
    <w:qFormat/>
    <w:pPr>
      <w:spacing w:lineRule="auto" w:line="480" w:before="0" w:after="120"/>
    </w:pPr>
    <w:rPr/>
  </w:style>
  <w:style w:type="paragraph" w:styleId="BalloonText">
    <w:name w:val="Balloon Text"/>
    <w:basedOn w:val="Normal"/>
    <w:qFormat/>
    <w:pPr/>
    <w:rPr>
      <w:rFonts w:ascii="Tahoma" w:hAnsi="Tahoma" w:cs="Tahoma"/>
      <w:sz w:val="16"/>
      <w:szCs w:val="16"/>
    </w:rPr>
  </w:style>
  <w:style w:type="paragraph" w:styleId="Normal13pt">
    <w:name w:val="Normal + 13 pt"/>
    <w:basedOn w:val="Normal"/>
    <w:qFormat/>
    <w:pPr>
      <w:widowControl/>
    </w:pPr>
    <w:rPr>
      <w:rFonts w:ascii="Times New Roman" w:hAnsi="Times New Roman" w:cs="Times New Roman"/>
      <w:b w:val="false"/>
      <w:sz w:val="26"/>
      <w:szCs w:val="24"/>
      <w:lang w:val="en-GB" w:bidi="ar-SA"/>
    </w:rPr>
  </w:style>
  <w:style w:type="paragraph" w:styleId="BodyText3">
    <w:name w:val="Body Text 3"/>
    <w:basedOn w:val="Normal"/>
    <w:qFormat/>
    <w:pPr>
      <w:spacing w:before="0" w:after="120"/>
    </w:pPr>
    <w:rPr>
      <w:sz w:val="16"/>
      <w:szCs w:val="16"/>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2021-01-19T12:33:00Z</dcterms:created>
  <dc:creator>Nikolaj</dc:creator>
  <dc:description/>
  <cp:keywords/>
  <dc:language>bg-BG</dc:language>
  <cp:lastModifiedBy>Георги Георгиев</cp:lastModifiedBy>
  <cp:lastPrinted>2007-11-14T16:40:00Z</cp:lastPrinted>
  <dcterms:modified xsi:type="dcterms:W3CDTF">2026-03-23T17:45:00Z</dcterms:modified>
  <cp:revision>18</cp:revision>
  <dc:subject/>
  <dc:title> </dc:title>
</cp:coreProperties>
</file>