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lang w:val="bg-BG"/>
        </w:rPr>
      </w:pPr>
      <w:r>
        <w:rPr>
          <w:lang w:val="bg-BG"/>
        </w:rPr>
        <w:t xml:space="preserve">5. </w:t>
        <w:tab/>
        <w:t>Измерване, анализ подобряване</w:t>
      </w:r>
    </w:p>
    <w:p>
      <w:pPr>
        <w:pStyle w:val="Heading1"/>
        <w:ind w:hanging="0" w:start="0"/>
        <w:rPr>
          <w:lang w:val="bg-BG"/>
        </w:rPr>
      </w:pPr>
      <w:r>
        <w:rPr>
          <w:lang w:val="bg-BG"/>
        </w:rPr>
      </w:r>
    </w:p>
    <w:p>
      <w:pPr>
        <w:pStyle w:val="Heading1"/>
        <w:ind w:hanging="0" w:start="0"/>
        <w:rPr>
          <w:lang w:val="bg-BG"/>
        </w:rPr>
      </w:pPr>
      <w:r>
        <w:rPr>
          <w:lang w:val="bg-BG"/>
        </w:rPr>
        <w:t>5.1</w:t>
        <w:tab/>
        <w:t>Общи положения</w:t>
      </w:r>
    </w:p>
    <w:p>
      <w:pPr>
        <w:pStyle w:val="Normal"/>
        <w:tabs>
          <w:tab w:val="clear" w:pos="708"/>
          <w:tab w:val="left" w:pos="1134" w:leader="none"/>
        </w:tabs>
        <w:rPr>
          <w:b w:val="false"/>
          <w:sz w:val="22"/>
          <w:lang w:val="ru-RU"/>
        </w:rPr>
      </w:pPr>
      <w:r>
        <w:rPr>
          <w:b w:val="false"/>
          <w:sz w:val="22"/>
          <w:lang w:val="ru-RU"/>
        </w:rPr>
      </w:r>
    </w:p>
    <w:p>
      <w:pPr>
        <w:pStyle w:val="BodyTextIndent2"/>
        <w:ind w:firstLine="708" w:end="0"/>
        <w:rPr/>
      </w:pPr>
      <w:r>
        <w:rPr>
          <w:lang w:val="ru-RU"/>
        </w:rPr>
        <w:t xml:space="preserve">В </w:t>
      </w:r>
      <w:r>
        <w:rPr>
          <w:lang w:val="bg-BG"/>
        </w:rPr>
        <w:t xml:space="preserve">СМП ПЛЕВЕН ЕООД широко е застъпен един от основните принципи на ISO </w:t>
      </w:r>
      <w:r>
        <w:rPr>
          <w:lang w:val="en-US"/>
        </w:rPr>
        <w:t>45</w:t>
      </w:r>
      <w:r>
        <w:rPr>
          <w:lang w:val="bg-BG"/>
        </w:rPr>
        <w:t>001:2023 – непрекъснато подобряване на резултатността по отношение на ЗБР и на действащата система за управление с оглед постигане на по-високи резултати от дейността, по-голяма удовлетвореност на клиентите, стабилни позиции на пазара, по-висока конкурентоспособност и по-голямо съответствие с изискванията по отношение на безопасността и здравето.</w:t>
      </w:r>
    </w:p>
    <w:p>
      <w:pPr>
        <w:pStyle w:val="BodyTextIndent2"/>
        <w:ind w:firstLine="708" w:end="0"/>
        <w:rPr/>
      </w:pPr>
      <w:r>
        <w:rPr>
          <w:lang w:val="bg-BG"/>
        </w:rPr>
        <w:t>Висшето ръководство е определило елементите, които трябва да се наблюдават и измерват, периодичността на измерванията, както и конкретните методи за контрол, ефективно измерване на резултатите от основните процеси, начините за обобщаване на данните и периодичното им анализиране, с оглед подобряване планирането на дейностите и постигане на поставените цели.</w:t>
      </w:r>
    </w:p>
    <w:p>
      <w:pPr>
        <w:pStyle w:val="BodyTextIndent2"/>
        <w:ind w:firstLine="708" w:end="0"/>
        <w:rPr/>
      </w:pPr>
      <w:r>
        <w:rPr>
          <w:lang w:val="bg-BG"/>
        </w:rPr>
        <w:t>Съществено място в процеса по набиране на информацията относно ефективността на дейностите по създаване и реализиране на фирмените услуги заема получената обратна информация от клиентите, както и периодично набираната информация при входящия контрол, текущото замерване, одитите на изградената ИСУ.</w:t>
      </w:r>
    </w:p>
    <w:p>
      <w:pPr>
        <w:pStyle w:val="BodyTextIndent2"/>
        <w:ind w:firstLine="708" w:end="0"/>
        <w:rPr/>
      </w:pPr>
      <w:r>
        <w:rPr>
          <w:lang w:val="bg-BG"/>
        </w:rPr>
        <w:t>За подобряване на резултатите и усъвършенстване на прилаганата в дружеството Система за управление широко се прилага системата на доказване на съответствието на услугите, за предприемане на коригиращи действия и управление на рисковете и възможностите, базирана на получените данни от текущи проверки и отзиви от клиенти.</w:t>
      </w:r>
    </w:p>
    <w:p>
      <w:pPr>
        <w:pStyle w:val="BodyTextIndent2"/>
        <w:ind w:firstLine="708" w:end="0"/>
        <w:rPr>
          <w:lang w:val="bg-BG"/>
        </w:rPr>
      </w:pPr>
      <w:r>
        <w:rPr>
          <w:lang w:val="bg-BG"/>
        </w:rPr>
        <w:t>Крайната цел на действията по измерване, анализ и подобряване е повишаване ефективността и ефикасността на взаимосвързаното функциониране на фирмените процеси.</w:t>
      </w:r>
    </w:p>
    <w:p>
      <w:pPr>
        <w:pStyle w:val="BodyTextIndent2"/>
        <w:ind w:firstLine="708" w:end="0"/>
        <w:rPr>
          <w:lang w:val="bg-BG"/>
        </w:rPr>
      </w:pPr>
      <w:r>
        <w:rPr>
          <w:lang w:val="bg-BG"/>
        </w:rPr>
      </w:r>
    </w:p>
    <w:p>
      <w:pPr>
        <w:pStyle w:val="BodyTextIndent2"/>
        <w:ind w:firstLine="708" w:end="0"/>
        <w:rPr>
          <w:lang w:val="bg-BG"/>
        </w:rPr>
      </w:pPr>
      <w:r>
        <w:rPr>
          <w:lang w:val="bg-BG"/>
        </w:rPr>
      </w:r>
    </w:p>
    <w:p>
      <w:pPr>
        <w:pStyle w:val="Heading2"/>
        <w:ind w:hanging="0" w:start="0"/>
        <w:rPr>
          <w:lang w:val="bg-BG"/>
        </w:rPr>
      </w:pPr>
      <w:r>
        <w:rPr>
          <w:lang w:val="bg-BG"/>
        </w:rPr>
        <w:t>5.2</w:t>
        <w:tab/>
        <w:t>Контрол и измерване</w:t>
      </w:r>
    </w:p>
    <w:p>
      <w:pPr>
        <w:pStyle w:val="Normal"/>
        <w:tabs>
          <w:tab w:val="clear" w:pos="708"/>
          <w:tab w:val="left" w:pos="709" w:leader="none"/>
          <w:tab w:val="left" w:pos="1134" w:leader="none"/>
        </w:tabs>
        <w:rPr>
          <w:sz w:val="28"/>
          <w:lang w:val="bg-BG"/>
        </w:rPr>
      </w:pPr>
      <w:r>
        <w:rPr>
          <w:sz w:val="28"/>
          <w:lang w:val="bg-BG"/>
        </w:rPr>
        <w:tab/>
        <w:t xml:space="preserve">      </w:t>
      </w:r>
    </w:p>
    <w:p>
      <w:pPr>
        <w:pStyle w:val="Heading3"/>
        <w:ind w:hanging="0" w:start="0"/>
        <w:rPr>
          <w:lang w:val="bg-BG"/>
        </w:rPr>
      </w:pPr>
      <w:r>
        <w:rPr>
          <w:lang w:val="bg-BG"/>
        </w:rPr>
        <w:t>5.2.1</w:t>
        <w:tab/>
        <w:t>Измерване на удовлетвореността на клиента</w:t>
      </w:r>
    </w:p>
    <w:p>
      <w:pPr>
        <w:pStyle w:val="Normal"/>
        <w:tabs>
          <w:tab w:val="clear" w:pos="708"/>
          <w:tab w:val="left" w:pos="709" w:leader="none"/>
          <w:tab w:val="left" w:pos="1134" w:leader="none"/>
        </w:tabs>
        <w:ind w:start="1080" w:end="0"/>
        <w:rPr>
          <w:b w:val="false"/>
          <w:sz w:val="22"/>
          <w:lang w:val="bg-BG"/>
        </w:rPr>
      </w:pPr>
      <w:r>
        <w:rPr>
          <w:b w:val="false"/>
          <w:sz w:val="22"/>
          <w:lang w:val="bg-BG"/>
        </w:rPr>
      </w:r>
    </w:p>
    <w:p>
      <w:pPr>
        <w:pStyle w:val="BodyTextIndent2"/>
        <w:ind w:firstLine="708" w:end="0"/>
        <w:rPr/>
      </w:pPr>
      <w:r>
        <w:rPr>
          <w:lang w:val="bg-BG"/>
        </w:rPr>
        <w:t>Стратегическа цел на ръководството на СМП ПЛЕВЕН ЕООД е постигането на високо качество, ЗБР и непрекъснато усъвършенстване на предлаганите услуги.</w:t>
      </w:r>
    </w:p>
    <w:p>
      <w:pPr>
        <w:pStyle w:val="BodyTextIndent2"/>
        <w:rPr/>
      </w:pPr>
      <w:r>
        <w:rPr/>
        <w:t>Това налага установяване и поддържане на непрекъснат контакт и обратна връзка с клиентите с оглед правилното разбиране и пълното определяне на техните потребности, желания и изисквания.</w:t>
      </w:r>
    </w:p>
    <w:p>
      <w:pPr>
        <w:pStyle w:val="BodyTextIndent2"/>
        <w:ind w:firstLine="708" w:end="0"/>
        <w:rPr/>
      </w:pPr>
      <w:r>
        <w:rPr/>
        <w:t xml:space="preserve">В своята политика </w:t>
      </w:r>
      <w:r>
        <w:rPr>
          <w:lang w:val="bg-BG"/>
        </w:rPr>
        <w:t xml:space="preserve">СМП ПЛЕВЕН ЕООД </w:t>
      </w:r>
      <w:r>
        <w:rPr/>
        <w:t xml:space="preserve">залага на документирането на всеки осъществен контакт с клиент, при който се окачествява фирмената политика и практика, степента на задоволство от </w:t>
      </w:r>
      <w:r>
        <w:rPr>
          <w:lang w:val="bg-BG"/>
        </w:rPr>
        <w:t>продукта</w:t>
      </w:r>
      <w:r>
        <w:rPr/>
        <w:t>, нивото на обслужване в процеса на продажба. Това става чрез попълването Анкетна карта при контакт с клиент по повод на предоставяне на услуга</w:t>
      </w:r>
      <w:r>
        <w:rPr>
          <w:lang w:val="bg-BG"/>
        </w:rPr>
        <w:t xml:space="preserve"> или чрез референции</w:t>
      </w:r>
      <w:r>
        <w:rPr/>
        <w:t>.</w:t>
      </w:r>
    </w:p>
    <w:p>
      <w:pPr>
        <w:pStyle w:val="BodyTextIndent2"/>
        <w:rPr>
          <w:rFonts w:ascii="Times New Roman" w:hAnsi="Times New Roman" w:cs="Times New Roman"/>
          <w:lang w:val="bg-BG"/>
        </w:rPr>
      </w:pPr>
      <w:r>
        <w:rPr/>
        <w:t>Анкетната карта</w:t>
      </w:r>
      <w:r>
        <w:rPr>
          <w:lang w:val="bg-BG"/>
        </w:rPr>
        <w:t xml:space="preserve"> и референциите</w:t>
      </w:r>
      <w:r>
        <w:rPr/>
        <w:t xml:space="preserve"> са основните документи, въз основа на които се прави обобщение и анализ на клиентската удовлетвореност и се предприемат съответни коригиращи действия. Те служат като основа при анализа на цялостното функциониране на Интегрираната система за управление и предприемането на действия за подобряване на фирмените процеси</w:t>
      </w:r>
      <w:r>
        <w:rPr>
          <w:rFonts w:cs="Times New Roman" w:ascii="Times New Roman" w:hAnsi="Times New Roman"/>
        </w:rPr>
        <w:t>.</w:t>
      </w:r>
      <w:r>
        <w:rPr>
          <w:rFonts w:cs="Times New Roman" w:ascii="Times New Roman" w:hAnsi="Times New Roman"/>
          <w:lang w:val="bg-BG"/>
        </w:rPr>
        <w:t xml:space="preserve"> </w:t>
      </w:r>
    </w:p>
    <w:p>
      <w:pPr>
        <w:pStyle w:val="BodyTextIndent2"/>
        <w:rPr>
          <w:rFonts w:ascii="Times New Roman" w:hAnsi="Times New Roman" w:cs="Times New Roman"/>
          <w:color w:val="FF0000"/>
          <w:lang w:val="bg-BG"/>
        </w:rPr>
      </w:pPr>
      <w:r>
        <w:rPr>
          <w:rFonts w:cs="Times New Roman" w:ascii="Times New Roman" w:hAnsi="Times New Roman"/>
          <w:color w:val="FF0000"/>
          <w:lang w:val="bg-BG"/>
        </w:rPr>
      </w:r>
    </w:p>
    <w:p>
      <w:pPr>
        <w:pStyle w:val="BodyTextIndent2"/>
        <w:rPr>
          <w:b/>
          <w:bCs/>
          <w:lang w:val="bg-BG"/>
        </w:rPr>
      </w:pPr>
      <w:r>
        <w:rPr>
          <w:b/>
          <w:bCs/>
          <w:lang w:val="bg-BG"/>
        </w:rPr>
        <w:t>Документи по темата</w:t>
      </w:r>
    </w:p>
    <w:tbl>
      <w:tblPr>
        <w:tblW w:w="9142" w:type="dxa"/>
        <w:jc w:val="start"/>
        <w:tblInd w:w="70" w:type="dxa"/>
        <w:tblLayout w:type="fixed"/>
        <w:tblCellMar>
          <w:top w:w="0" w:type="dxa"/>
          <w:start w:w="70" w:type="dxa"/>
          <w:bottom w:w="0" w:type="dxa"/>
          <w:end w:w="70" w:type="dxa"/>
        </w:tblCellMar>
      </w:tblPr>
      <w:tblGrid>
        <w:gridCol w:w="4536"/>
        <w:gridCol w:w="4606"/>
      </w:tblGrid>
      <w:tr>
        <w:trPr/>
        <w:tc>
          <w:tcPr>
            <w:tcW w:w="4536" w:type="dxa"/>
            <w:tcBorders>
              <w:top w:val="single" w:sz="4" w:space="0" w:color="000000"/>
              <w:start w:val="single" w:sz="4" w:space="0" w:color="000000"/>
              <w:bottom w:val="single" w:sz="4" w:space="0" w:color="000000"/>
              <w:end w:val="single" w:sz="4" w:space="0" w:color="000000"/>
            </w:tcBorders>
          </w:tcPr>
          <w:p>
            <w:pPr>
              <w:pStyle w:val="BodyTextIndent2"/>
              <w:snapToGrid w:val="false"/>
              <w:rPr>
                <w:lang w:val="ru-RU"/>
              </w:rPr>
            </w:pPr>
            <w:r>
              <w:rPr>
                <w:lang w:val="ru-RU"/>
              </w:rPr>
            </w:r>
          </w:p>
        </w:tc>
        <w:tc>
          <w:tcPr>
            <w:tcW w:w="4606" w:type="dxa"/>
            <w:tcBorders>
              <w:top w:val="single" w:sz="4" w:space="0" w:color="000000"/>
              <w:start w:val="single" w:sz="4" w:space="0" w:color="000000"/>
              <w:bottom w:val="single" w:sz="4" w:space="0" w:color="000000"/>
              <w:end w:val="single" w:sz="4" w:space="0" w:color="000000"/>
            </w:tcBorders>
          </w:tcPr>
          <w:p>
            <w:pPr>
              <w:pStyle w:val="BodyTextIndent2"/>
              <w:rPr>
                <w:lang w:val="bg-BG"/>
              </w:rPr>
            </w:pPr>
            <w:r>
              <w:rPr>
                <w:lang w:val="bg-BG"/>
              </w:rPr>
              <w:t>Ф4-</w:t>
            </w:r>
            <w:r>
              <w:rPr>
                <w:lang w:val="en-US"/>
              </w:rPr>
              <w:t>20</w:t>
            </w:r>
            <w:r>
              <w:rPr>
                <w:lang w:val="bg-BG"/>
              </w:rPr>
              <w:t xml:space="preserve"> Анкета клиенти</w:t>
            </w:r>
          </w:p>
        </w:tc>
      </w:tr>
      <w:tr>
        <w:trPr/>
        <w:tc>
          <w:tcPr>
            <w:tcW w:w="4536" w:type="dxa"/>
            <w:tcBorders>
              <w:top w:val="single" w:sz="4" w:space="0" w:color="000000"/>
              <w:start w:val="single" w:sz="4" w:space="0" w:color="000000"/>
              <w:bottom w:val="single" w:sz="4" w:space="0" w:color="000000"/>
              <w:end w:val="single" w:sz="4" w:space="0" w:color="000000"/>
            </w:tcBorders>
          </w:tcPr>
          <w:p>
            <w:pPr>
              <w:pStyle w:val="BodyTextIndent2"/>
              <w:snapToGrid w:val="false"/>
              <w:rPr>
                <w:lang w:val="ru-RU"/>
              </w:rPr>
            </w:pPr>
            <w:r>
              <w:rPr>
                <w:lang w:val="ru-RU"/>
              </w:rPr>
            </w:r>
          </w:p>
        </w:tc>
        <w:tc>
          <w:tcPr>
            <w:tcW w:w="4606" w:type="dxa"/>
            <w:tcBorders>
              <w:top w:val="single" w:sz="4" w:space="0" w:color="000000"/>
              <w:start w:val="single" w:sz="4" w:space="0" w:color="000000"/>
              <w:bottom w:val="single" w:sz="4" w:space="0" w:color="000000"/>
              <w:end w:val="single" w:sz="4" w:space="0" w:color="000000"/>
            </w:tcBorders>
          </w:tcPr>
          <w:p>
            <w:pPr>
              <w:pStyle w:val="BodyTextIndent2"/>
              <w:jc w:val="start"/>
              <w:rPr>
                <w:lang w:val="bg-BG"/>
              </w:rPr>
            </w:pPr>
            <w:r>
              <w:rPr>
                <w:lang w:val="bg-BG"/>
              </w:rPr>
              <w:t>Ф5-04 Предложение за коригиращи мерки</w:t>
            </w:r>
          </w:p>
        </w:tc>
      </w:tr>
    </w:tbl>
    <w:p>
      <w:pPr>
        <w:pStyle w:val="BodyTextIndent2"/>
        <w:rPr>
          <w:lang w:val="ru-RU"/>
        </w:rPr>
      </w:pPr>
      <w:r>
        <w:rPr>
          <w:lang w:val="ru-RU"/>
        </w:rPr>
      </w:r>
    </w:p>
    <w:p>
      <w:pPr>
        <w:pStyle w:val="BodyText"/>
        <w:jc w:val="start"/>
        <w:rPr>
          <w:b w:val="false"/>
          <w:sz w:val="22"/>
          <w:lang w:val="ru-RU"/>
        </w:rPr>
      </w:pPr>
      <w:r>
        <w:rPr>
          <w:b w:val="false"/>
          <w:sz w:val="22"/>
          <w:lang w:val="ru-RU"/>
        </w:rPr>
      </w:r>
    </w:p>
    <w:p>
      <w:pPr>
        <w:pStyle w:val="Heading3"/>
        <w:ind w:hanging="0" w:start="0"/>
        <w:rPr>
          <w:lang w:val="ru-RU"/>
        </w:rPr>
      </w:pPr>
      <w:r>
        <w:rPr>
          <w:lang w:val="ru-RU"/>
        </w:rPr>
        <w:t>5.2.2</w:t>
        <w:tab/>
      </w:r>
      <w:r>
        <w:rPr>
          <w:lang w:val="bg-BG"/>
        </w:rPr>
        <w:t xml:space="preserve">Вътрешни одити </w:t>
      </w:r>
    </w:p>
    <w:p>
      <w:pPr>
        <w:pStyle w:val="Normal"/>
        <w:ind w:start="851" w:end="0"/>
        <w:rPr>
          <w:b w:val="false"/>
          <w:sz w:val="22"/>
          <w:lang w:val="ru-RU"/>
        </w:rPr>
      </w:pPr>
      <w:r>
        <w:rPr>
          <w:b w:val="false"/>
          <w:sz w:val="22"/>
          <w:lang w:val="ru-RU"/>
        </w:rPr>
      </w:r>
    </w:p>
    <w:p>
      <w:pPr>
        <w:pStyle w:val="Heading2"/>
        <w:widowControl/>
        <w:numPr>
          <w:ilvl w:val="0"/>
          <w:numId w:val="0"/>
        </w:numPr>
        <w:tabs>
          <w:tab w:val="clear" w:pos="1134"/>
          <w:tab w:val="left" w:pos="10632" w:leader="none"/>
        </w:tabs>
        <w:spacing w:before="120" w:after="0"/>
        <w:ind w:firstLine="567" w:start="0" w:end="0"/>
        <w:jc w:val="both"/>
        <w:rPr/>
      </w:pPr>
      <w:r>
        <w:rPr>
          <w:b w:val="false"/>
          <w:sz w:val="22"/>
          <w:szCs w:val="22"/>
          <w:lang w:val="bg-BG"/>
        </w:rPr>
        <w:t>В СМП ПЛЕВЕН ЕООД е предвидено регулярно провеждане на вътрешни одити, съгласно одобрявания в началото на всяка година График, който се разпространява по съответния ред до всички звена и нива, за да се запознаят с нея.</w:t>
      </w:r>
    </w:p>
    <w:p>
      <w:pPr>
        <w:pStyle w:val="BodyTextIndent2"/>
        <w:ind w:firstLine="708" w:end="0"/>
        <w:rPr>
          <w:b/>
          <w:sz w:val="22"/>
          <w:szCs w:val="22"/>
          <w:lang w:val="bg-BG"/>
        </w:rPr>
      </w:pPr>
      <w:r>
        <w:rPr>
          <w:b/>
          <w:sz w:val="22"/>
          <w:szCs w:val="22"/>
          <w:lang w:val="bg-BG"/>
        </w:rPr>
      </w:r>
    </w:p>
    <w:p>
      <w:pPr>
        <w:pStyle w:val="BodyTextIndent2"/>
        <w:ind w:firstLine="567" w:end="0"/>
        <w:rPr/>
      </w:pPr>
      <w:r>
        <w:rPr>
          <w:lang w:val="bg-BG"/>
        </w:rPr>
        <w:t>Целта е да се провери ефективното функциониране на СУ, а също така съответствието на разработената документация с изискванията на стандарт БДС EN ISO 45001:2023. Включва се:</w:t>
      </w:r>
    </w:p>
    <w:p>
      <w:pPr>
        <w:pStyle w:val="BodyTextIndent2"/>
        <w:numPr>
          <w:ilvl w:val="0"/>
          <w:numId w:val="6"/>
        </w:numPr>
        <w:rPr>
          <w:lang w:val="bg-BG"/>
        </w:rPr>
      </w:pPr>
      <w:r>
        <w:rPr>
          <w:lang w:val="bg-BG"/>
        </w:rPr>
        <w:t>Планиране на вътрешните одити;</w:t>
      </w:r>
    </w:p>
    <w:p>
      <w:pPr>
        <w:pStyle w:val="BodyTextIndent2"/>
        <w:numPr>
          <w:ilvl w:val="0"/>
          <w:numId w:val="6"/>
        </w:numPr>
        <w:rPr>
          <w:lang w:val="bg-BG"/>
        </w:rPr>
      </w:pPr>
      <w:r>
        <w:rPr>
          <w:lang w:val="bg-BG"/>
        </w:rPr>
        <w:t>Сформиране на одиторски екип и провеждане на одитите;</w:t>
      </w:r>
    </w:p>
    <w:p>
      <w:pPr>
        <w:pStyle w:val="BodyTextIndent2"/>
        <w:numPr>
          <w:ilvl w:val="0"/>
          <w:numId w:val="6"/>
        </w:numPr>
        <w:rPr>
          <w:lang w:val="bg-BG"/>
        </w:rPr>
      </w:pPr>
      <w:r>
        <w:rPr>
          <w:lang w:val="bg-BG"/>
        </w:rPr>
        <w:t>Документиране на резултатите от одитите;</w:t>
      </w:r>
    </w:p>
    <w:p>
      <w:pPr>
        <w:pStyle w:val="BodyTextIndent2"/>
        <w:numPr>
          <w:ilvl w:val="0"/>
          <w:numId w:val="6"/>
        </w:numPr>
        <w:rPr>
          <w:lang w:val="bg-BG"/>
        </w:rPr>
      </w:pPr>
      <w:r>
        <w:rPr>
          <w:lang w:val="bg-BG"/>
        </w:rPr>
        <w:t>Предприемане на коригиращи действия;</w:t>
      </w:r>
    </w:p>
    <w:p>
      <w:pPr>
        <w:pStyle w:val="BodyTextIndent2"/>
        <w:numPr>
          <w:ilvl w:val="0"/>
          <w:numId w:val="6"/>
        </w:numPr>
        <w:rPr>
          <w:sz w:val="24"/>
          <w:szCs w:val="24"/>
          <w:lang w:val="bg-BG"/>
        </w:rPr>
      </w:pPr>
      <w:r>
        <w:rPr>
          <w:lang w:val="bg-BG"/>
        </w:rPr>
        <w:t>Контрол по изпълнение на мерките за отстраняване на несъответствията в СУ;</w:t>
      </w:r>
    </w:p>
    <w:p>
      <w:pPr>
        <w:pStyle w:val="BodyTextIndent2"/>
        <w:numPr>
          <w:ilvl w:val="0"/>
          <w:numId w:val="6"/>
        </w:numPr>
        <w:tabs>
          <w:tab w:val="clear" w:pos="708"/>
          <w:tab w:val="left" w:pos="567" w:leader="none"/>
        </w:tabs>
        <w:rPr>
          <w:sz w:val="24"/>
          <w:szCs w:val="24"/>
          <w:lang w:val="bg-BG"/>
        </w:rPr>
      </w:pPr>
      <w:r>
        <w:rPr>
          <w:lang w:val="bg-BG"/>
        </w:rPr>
        <w:t>Съхранение на записите от вътрешните одити.</w:t>
      </w:r>
    </w:p>
    <w:p>
      <w:pPr>
        <w:pStyle w:val="BodyTextIndent2"/>
        <w:ind w:start="1428" w:end="0"/>
        <w:rPr>
          <w:sz w:val="24"/>
          <w:szCs w:val="24"/>
          <w:lang w:val="bg-BG"/>
        </w:rPr>
      </w:pPr>
      <w:r>
        <w:rPr>
          <w:sz w:val="24"/>
          <w:szCs w:val="24"/>
          <w:lang w:val="bg-BG"/>
        </w:rPr>
      </w:r>
    </w:p>
    <w:p>
      <w:pPr>
        <w:pStyle w:val="BodyTextIndent2"/>
        <w:tabs>
          <w:tab w:val="clear" w:pos="708"/>
          <w:tab w:val="left" w:pos="567" w:leader="none"/>
        </w:tabs>
        <w:rPr>
          <w:szCs w:val="22"/>
          <w:lang w:val="bg-BG"/>
        </w:rPr>
      </w:pPr>
      <w:r>
        <w:rPr>
          <w:szCs w:val="22"/>
          <w:lang w:val="bg-BG"/>
        </w:rPr>
        <w:tab/>
        <w:t xml:space="preserve">Целта на вътрешните одити е да се провери дали дейностите, свързани с ЗБР и резултатите от тях, съответстват на планираните и да се определи ефективността на СУ. По този начин да се създаде увереност в ръководството и ангажирания персонал, че политиката за системата е разбрана и се прилага в съответствие с процедурите на СУ. За провеждането на вътрешните одити отговаря ПР за СУ, както и групата от вътрешни одитори. </w:t>
      </w:r>
    </w:p>
    <w:p>
      <w:pPr>
        <w:pStyle w:val="BodyTextIndent2"/>
        <w:tabs>
          <w:tab w:val="clear" w:pos="708"/>
          <w:tab w:val="left" w:pos="567" w:leader="none"/>
        </w:tabs>
        <w:rPr>
          <w:szCs w:val="22"/>
          <w:lang w:val="bg-BG"/>
        </w:rPr>
      </w:pPr>
      <w:r>
        <w:rPr>
          <w:szCs w:val="22"/>
          <w:lang w:val="bg-BG"/>
        </w:rPr>
        <w:t xml:space="preserve">Отговорността на останалия персонал се посочва в планиращия документ за извършване на одита. Ръководителите на звеното, в което се извършва одита, трябва да съдействат на вътрешните одитори за получаване на цялата необходима информация за проверяваната дейност. Те са отговорни и за предприемане на съответните коригиращи действия, произтичащи от хода и документите по одита. </w:t>
      </w:r>
    </w:p>
    <w:p>
      <w:pPr>
        <w:pStyle w:val="BodyTextIndent2"/>
        <w:tabs>
          <w:tab w:val="clear" w:pos="708"/>
          <w:tab w:val="left" w:pos="567" w:leader="none"/>
        </w:tabs>
        <w:rPr/>
      </w:pPr>
      <w:r>
        <w:rPr>
          <w:szCs w:val="22"/>
          <w:lang w:val="bg-BG"/>
        </w:rPr>
        <w:tab/>
        <w:t>При разработване на Програмата за одитите, ПР за СУ определя подходящи за одитираната област, процес, отдел вътрешни одитори, като се води от принципа за независимост на одиторите от одитираната област.</w:t>
      </w:r>
    </w:p>
    <w:p>
      <w:pPr>
        <w:pStyle w:val="BodyTextIndent2"/>
        <w:tabs>
          <w:tab w:val="clear" w:pos="708"/>
          <w:tab w:val="left" w:pos="567" w:leader="none"/>
        </w:tabs>
        <w:rPr/>
      </w:pPr>
      <w:r>
        <w:rPr>
          <w:szCs w:val="22"/>
          <w:lang w:val="bg-BG"/>
        </w:rPr>
        <w:t xml:space="preserve">Позовавайки се на утвърдената от Управителя програма, най-малко 1 /една/ работна седмица преди определената дата за одит, ПР за СУ уведомява вътрешните одитори за датата и часа на одита. </w:t>
      </w:r>
    </w:p>
    <w:p>
      <w:pPr>
        <w:pStyle w:val="BodyTextIndent2"/>
        <w:tabs>
          <w:tab w:val="clear" w:pos="708"/>
          <w:tab w:val="left" w:pos="567" w:leader="none"/>
        </w:tabs>
        <w:rPr>
          <w:szCs w:val="22"/>
          <w:lang w:val="bg-BG"/>
        </w:rPr>
      </w:pPr>
      <w:r>
        <w:rPr>
          <w:szCs w:val="22"/>
          <w:lang w:val="bg-BG"/>
        </w:rPr>
        <w:tab/>
        <w:t xml:space="preserve">Управителят на фирмата утвърждава Годишната програма за вътрешни одити и за одит на системата като цяло. Одитите на СУ се извършват на база изискванията към нея, посочени в Наръчника и приложимия модел за съответствие със стандартите. </w:t>
      </w:r>
    </w:p>
    <w:p>
      <w:pPr>
        <w:pStyle w:val="BodyTextIndent2"/>
        <w:tabs>
          <w:tab w:val="clear" w:pos="708"/>
          <w:tab w:val="left" w:pos="567" w:leader="none"/>
        </w:tabs>
        <w:rPr/>
      </w:pPr>
      <w:r>
        <w:rPr>
          <w:szCs w:val="22"/>
          <w:lang w:val="bg-BG"/>
        </w:rPr>
        <w:tab/>
        <w:t>За извършване на одити на системата се прилагат унифицирани критерии и правила, които са одобрени от ПР за СУ.</w:t>
      </w:r>
    </w:p>
    <w:p>
      <w:pPr>
        <w:pStyle w:val="BodyTextIndent2"/>
        <w:tabs>
          <w:tab w:val="clear" w:pos="708"/>
          <w:tab w:val="left" w:pos="567" w:leader="none"/>
        </w:tabs>
        <w:rPr>
          <w:szCs w:val="22"/>
          <w:lang w:val="bg-BG"/>
        </w:rPr>
      </w:pPr>
      <w:r>
        <w:rPr>
          <w:szCs w:val="22"/>
          <w:lang w:val="bg-BG"/>
        </w:rPr>
        <w:tab/>
        <w:t xml:space="preserve">При формулиране на изискванията към провеждането на вътрешните одити могат да се ползват препоръките на БДС ЕN ISO 19011 - Указания за одит на Системи по управление на качеството. </w:t>
      </w:r>
    </w:p>
    <w:p>
      <w:pPr>
        <w:pStyle w:val="BodyTextIndent2"/>
        <w:tabs>
          <w:tab w:val="clear" w:pos="708"/>
          <w:tab w:val="left" w:pos="567" w:leader="none"/>
        </w:tabs>
        <w:rPr/>
      </w:pPr>
      <w:r>
        <w:rPr>
          <w:szCs w:val="22"/>
          <w:lang w:val="bg-BG"/>
        </w:rPr>
        <w:tab/>
        <w:t>Одитите на процесите се базират на приложимите изисквания към резултата от провеждането на процеса. Тези одити са също така по-подробни и задълбочени от предписания в технологичната документация рутинен контрол.</w:t>
      </w:r>
    </w:p>
    <w:p>
      <w:pPr>
        <w:pStyle w:val="Heading3"/>
        <w:keepNext w:val="false"/>
        <w:widowControl/>
        <w:numPr>
          <w:ilvl w:val="0"/>
          <w:numId w:val="0"/>
        </w:numPr>
        <w:tabs>
          <w:tab w:val="clear" w:pos="1134"/>
          <w:tab w:val="left" w:pos="0" w:leader="none"/>
          <w:tab w:val="left" w:pos="709" w:leader="none"/>
          <w:tab w:val="left" w:pos="10632" w:leader="none"/>
        </w:tabs>
        <w:ind w:hanging="0" w:start="0"/>
        <w:jc w:val="both"/>
        <w:rPr/>
      </w:pPr>
      <w:r>
        <w:rPr>
          <w:b w:val="false"/>
          <w:sz w:val="22"/>
          <w:szCs w:val="22"/>
          <w:lang w:val="bg-BG"/>
        </w:rPr>
        <w:tab/>
        <w:t>Одитите на действията изясняват поведението на ангажирания персонал при изпълнението на планирани и свързани с ЗБР мероприятия, както и действията по спазване на Основните процедури от СУ.</w:t>
      </w:r>
    </w:p>
    <w:p>
      <w:pPr>
        <w:pStyle w:val="Heading3"/>
        <w:keepNext w:val="false"/>
        <w:widowControl/>
        <w:numPr>
          <w:ilvl w:val="0"/>
          <w:numId w:val="0"/>
        </w:numPr>
        <w:tabs>
          <w:tab w:val="clear" w:pos="1134"/>
          <w:tab w:val="left" w:pos="0" w:leader="none"/>
          <w:tab w:val="left" w:pos="709" w:leader="none"/>
          <w:tab w:val="left" w:pos="10632" w:leader="none"/>
        </w:tabs>
        <w:ind w:hanging="0" w:start="0"/>
        <w:jc w:val="both"/>
        <w:rPr/>
      </w:pPr>
      <w:r>
        <w:rPr>
          <w:b w:val="false"/>
          <w:sz w:val="22"/>
          <w:szCs w:val="22"/>
          <w:lang w:val="bg-BG"/>
        </w:rPr>
        <w:tab/>
        <w:t xml:space="preserve">Вътрешните одити е необходимо дa се извършват от лица, които са достатъчно компетентни и добре запознати с наръчниците, основните процедури и приложимите документи от СУ, както и с дейността на одитираните звена и длъжностни лица. </w:t>
      </w:r>
    </w:p>
    <w:p>
      <w:pPr>
        <w:pStyle w:val="Heading2"/>
        <w:keepNext w:val="false"/>
        <w:widowControl/>
        <w:numPr>
          <w:ilvl w:val="0"/>
          <w:numId w:val="0"/>
        </w:numPr>
        <w:tabs>
          <w:tab w:val="clear" w:pos="1134"/>
          <w:tab w:val="left" w:pos="709" w:leader="none"/>
          <w:tab w:val="left" w:pos="10632" w:leader="none"/>
        </w:tabs>
        <w:ind w:hanging="0" w:start="0" w:end="-1"/>
        <w:jc w:val="both"/>
        <w:rPr>
          <w:b w:val="false"/>
          <w:sz w:val="22"/>
          <w:szCs w:val="22"/>
          <w:lang w:val="bg-BG"/>
        </w:rPr>
      </w:pPr>
      <w:r>
        <w:rPr>
          <w:b w:val="false"/>
          <w:sz w:val="22"/>
          <w:szCs w:val="22"/>
          <w:lang w:val="bg-BG"/>
        </w:rPr>
        <w:tab/>
        <w:t>В зависимост от констатациите и откритите несъответствия, направени по време на всеки одит, отговорните длъжностни лица и/или ръководителите на звена предприемат коригиращи действия в рамките на предоставените им от управителя и системата пълномощия, когато резултатите от одитите изискват предприемането на коригиращи действия. Решенията, разпорежданията или предложенията се оформят съгласно изискванията на ОП5-03 Коригиращи действия.</w:t>
      </w:r>
    </w:p>
    <w:p>
      <w:pPr>
        <w:pStyle w:val="Heading2"/>
        <w:keepNext w:val="false"/>
        <w:widowControl/>
        <w:numPr>
          <w:ilvl w:val="0"/>
          <w:numId w:val="0"/>
        </w:numPr>
        <w:tabs>
          <w:tab w:val="clear" w:pos="1134"/>
          <w:tab w:val="left" w:pos="709" w:leader="none"/>
          <w:tab w:val="left" w:pos="10632" w:leader="none"/>
        </w:tabs>
        <w:ind w:hanging="0" w:start="0" w:end="-1"/>
        <w:jc w:val="both"/>
        <w:rPr/>
      </w:pPr>
      <w:r>
        <w:rPr>
          <w:b w:val="false"/>
          <w:sz w:val="22"/>
          <w:szCs w:val="22"/>
          <w:lang w:val="bg-BG"/>
        </w:rPr>
        <w:tab/>
        <w:t>Основни документи при извършването на вътрешните одити са:</w:t>
      </w:r>
    </w:p>
    <w:p>
      <w:pPr>
        <w:pStyle w:val="Normal"/>
        <w:widowControl/>
        <w:numPr>
          <w:ilvl w:val="0"/>
          <w:numId w:val="7"/>
        </w:numPr>
        <w:tabs>
          <w:tab w:val="clear" w:pos="708"/>
          <w:tab w:val="left" w:pos="2070" w:leader="none"/>
          <w:tab w:val="left" w:pos="10632" w:leader="none"/>
        </w:tabs>
        <w:ind w:hanging="0" w:start="567" w:end="-1"/>
        <w:jc w:val="both"/>
        <w:rPr>
          <w:rFonts w:cs="Arial"/>
          <w:b w:val="false"/>
          <w:sz w:val="22"/>
          <w:szCs w:val="22"/>
          <w:lang w:val="bg-BG"/>
        </w:rPr>
      </w:pPr>
      <w:r>
        <w:rPr>
          <w:rFonts w:cs="Arial"/>
          <w:b w:val="false"/>
          <w:sz w:val="22"/>
          <w:szCs w:val="22"/>
          <w:lang w:val="bg-BG"/>
        </w:rPr>
        <w:t>Интегриран наръчник на</w:t>
      </w:r>
      <w:r>
        <w:rPr>
          <w:b w:val="false"/>
          <w:sz w:val="22"/>
          <w:szCs w:val="22"/>
          <w:lang w:val="bg-BG"/>
        </w:rPr>
        <w:t xml:space="preserve"> СМП ПЛЕВЕН ЕООД</w:t>
      </w:r>
      <w:r>
        <w:rPr>
          <w:rFonts w:cs="Arial"/>
          <w:b w:val="false"/>
          <w:sz w:val="22"/>
          <w:szCs w:val="22"/>
          <w:lang w:val="bg-BG"/>
        </w:rPr>
        <w:t>;</w:t>
      </w:r>
    </w:p>
    <w:p>
      <w:pPr>
        <w:pStyle w:val="Normal"/>
        <w:widowControl/>
        <w:numPr>
          <w:ilvl w:val="0"/>
          <w:numId w:val="7"/>
        </w:numPr>
        <w:tabs>
          <w:tab w:val="clear" w:pos="708"/>
          <w:tab w:val="left" w:pos="2070" w:leader="none"/>
          <w:tab w:val="left" w:pos="10632" w:leader="none"/>
        </w:tabs>
        <w:ind w:hanging="0" w:start="567" w:end="-1"/>
        <w:jc w:val="both"/>
        <w:rPr>
          <w:rFonts w:cs="Arial"/>
          <w:b w:val="false"/>
          <w:sz w:val="22"/>
          <w:szCs w:val="22"/>
          <w:lang w:val="bg-BG"/>
        </w:rPr>
      </w:pPr>
      <w:r>
        <w:rPr>
          <w:rFonts w:cs="Arial"/>
          <w:b w:val="false"/>
          <w:sz w:val="22"/>
          <w:szCs w:val="22"/>
          <w:lang w:val="bg-BG"/>
        </w:rPr>
        <w:t>Основни процедури и работни инструкции по управление на ЗБР или части от тях;</w:t>
      </w:r>
    </w:p>
    <w:p>
      <w:pPr>
        <w:pStyle w:val="Normal"/>
        <w:widowControl/>
        <w:numPr>
          <w:ilvl w:val="0"/>
          <w:numId w:val="7"/>
        </w:numPr>
        <w:tabs>
          <w:tab w:val="clear" w:pos="708"/>
          <w:tab w:val="left" w:pos="2070" w:leader="none"/>
          <w:tab w:val="left" w:pos="10632" w:leader="none"/>
        </w:tabs>
        <w:ind w:hanging="0" w:start="567" w:end="-1"/>
        <w:jc w:val="both"/>
        <w:rPr>
          <w:rFonts w:cs="Arial"/>
          <w:b w:val="false"/>
          <w:sz w:val="22"/>
          <w:szCs w:val="22"/>
          <w:lang w:val="bg-BG"/>
        </w:rPr>
      </w:pPr>
      <w:r>
        <w:rPr>
          <w:rFonts w:cs="Arial"/>
          <w:b w:val="false"/>
          <w:sz w:val="22"/>
          <w:szCs w:val="22"/>
          <w:lang w:val="bg-BG"/>
        </w:rPr>
        <w:t>Планове за конкретния одит;</w:t>
      </w:r>
    </w:p>
    <w:p>
      <w:pPr>
        <w:pStyle w:val="Normal"/>
        <w:widowControl/>
        <w:numPr>
          <w:ilvl w:val="0"/>
          <w:numId w:val="7"/>
        </w:numPr>
        <w:tabs>
          <w:tab w:val="clear" w:pos="708"/>
          <w:tab w:val="left" w:pos="-567" w:leader="none"/>
          <w:tab w:val="left" w:pos="2070" w:leader="none"/>
          <w:tab w:val="left" w:pos="10632" w:leader="none"/>
        </w:tabs>
        <w:ind w:hanging="0" w:start="567" w:end="-1"/>
        <w:jc w:val="both"/>
        <w:rPr>
          <w:rFonts w:cs="Arial"/>
          <w:b w:val="false"/>
          <w:sz w:val="22"/>
          <w:szCs w:val="22"/>
          <w:lang w:val="bg-BG"/>
        </w:rPr>
      </w:pPr>
      <w:r>
        <w:rPr>
          <w:rFonts w:cs="Arial"/>
          <w:b w:val="false"/>
          <w:sz w:val="22"/>
          <w:szCs w:val="22"/>
          <w:lang w:val="bg-BG"/>
        </w:rPr>
        <w:t xml:space="preserve">Одиторски отчет за извършения планов или извънпланов вътрешен одит </w:t>
      </w:r>
    </w:p>
    <w:p>
      <w:pPr>
        <w:pStyle w:val="Normal"/>
        <w:widowControl/>
        <w:numPr>
          <w:ilvl w:val="0"/>
          <w:numId w:val="7"/>
        </w:numPr>
        <w:tabs>
          <w:tab w:val="clear" w:pos="708"/>
          <w:tab w:val="left" w:pos="-567" w:leader="none"/>
          <w:tab w:val="left" w:pos="2070" w:leader="none"/>
          <w:tab w:val="left" w:pos="10632" w:leader="none"/>
        </w:tabs>
        <w:ind w:hanging="0" w:start="567" w:end="-1"/>
        <w:jc w:val="both"/>
        <w:rPr>
          <w:rFonts w:cs="Arial"/>
          <w:b w:val="false"/>
          <w:sz w:val="22"/>
          <w:szCs w:val="22"/>
          <w:lang w:val="bg-BG"/>
        </w:rPr>
      </w:pPr>
      <w:r>
        <w:rPr>
          <w:rFonts w:cs="Arial"/>
          <w:b w:val="false"/>
          <w:sz w:val="22"/>
          <w:szCs w:val="22"/>
          <w:lang w:val="bg-BG"/>
        </w:rPr>
        <w:t>Доклад за несъответствие</w:t>
      </w:r>
    </w:p>
    <w:p>
      <w:pPr>
        <w:pStyle w:val="Normal"/>
        <w:widowControl/>
        <w:numPr>
          <w:ilvl w:val="0"/>
          <w:numId w:val="7"/>
        </w:numPr>
        <w:tabs>
          <w:tab w:val="clear" w:pos="708"/>
          <w:tab w:val="left" w:pos="-567" w:leader="none"/>
          <w:tab w:val="left" w:pos="2070" w:leader="none"/>
          <w:tab w:val="left" w:pos="10632" w:leader="none"/>
        </w:tabs>
        <w:ind w:hanging="0" w:start="567" w:end="-1"/>
        <w:jc w:val="both"/>
        <w:rPr>
          <w:rFonts w:cs="Arial"/>
          <w:b w:val="false"/>
          <w:sz w:val="22"/>
          <w:szCs w:val="22"/>
          <w:lang w:val="bg-BG"/>
        </w:rPr>
      </w:pPr>
      <w:r>
        <w:rPr>
          <w:rFonts w:cs="Arial"/>
          <w:b w:val="false"/>
          <w:sz w:val="22"/>
          <w:szCs w:val="22"/>
          <w:lang w:val="bg-BG"/>
        </w:rPr>
        <w:t>Помощни материали /чек-листове и др./</w:t>
      </w:r>
    </w:p>
    <w:p>
      <w:pPr>
        <w:pStyle w:val="Heading3"/>
        <w:keepNext w:val="false"/>
        <w:widowControl/>
        <w:numPr>
          <w:ilvl w:val="0"/>
          <w:numId w:val="0"/>
        </w:numPr>
        <w:tabs>
          <w:tab w:val="clear" w:pos="1134"/>
          <w:tab w:val="left" w:pos="0" w:leader="none"/>
          <w:tab w:val="left" w:pos="709" w:leader="none"/>
          <w:tab w:val="left" w:pos="10632" w:leader="none"/>
        </w:tabs>
        <w:ind w:hanging="0" w:start="0" w:end="-1"/>
        <w:jc w:val="both"/>
        <w:rPr/>
      </w:pPr>
      <w:r>
        <w:rPr>
          <w:b w:val="false"/>
          <w:sz w:val="22"/>
          <w:szCs w:val="22"/>
          <w:lang w:val="bg-BG"/>
        </w:rPr>
        <w:tab/>
        <w:t>Документите от вътрешните одити са само за служебно ползване. Те могат да се предоставят за преглед по време на одит от трета страна, т.е. на Сертифицираща организация, която извършва сертификационен одит на СУ.</w:t>
      </w:r>
    </w:p>
    <w:p>
      <w:pPr>
        <w:pStyle w:val="Heading3"/>
        <w:keepNext w:val="false"/>
        <w:widowControl/>
        <w:numPr>
          <w:ilvl w:val="0"/>
          <w:numId w:val="0"/>
        </w:numPr>
        <w:tabs>
          <w:tab w:val="clear" w:pos="1134"/>
          <w:tab w:val="left" w:pos="0" w:leader="none"/>
          <w:tab w:val="left" w:pos="709" w:leader="none"/>
          <w:tab w:val="left" w:pos="10632" w:leader="none"/>
        </w:tabs>
        <w:ind w:hanging="0" w:start="0" w:end="-1"/>
        <w:jc w:val="both"/>
        <w:rPr/>
      </w:pPr>
      <w:r>
        <w:rPr>
          <w:b w:val="false"/>
          <w:sz w:val="22"/>
          <w:szCs w:val="22"/>
          <w:lang w:val="bg-BG"/>
        </w:rPr>
        <w:tab/>
        <w:t xml:space="preserve">Документите от одитите представляват записи (документи от четвърто ниво) и не могат да се променят. </w:t>
      </w:r>
    </w:p>
    <w:p>
      <w:pPr>
        <w:pStyle w:val="Heading3"/>
        <w:keepNext w:val="false"/>
        <w:widowControl/>
        <w:numPr>
          <w:ilvl w:val="0"/>
          <w:numId w:val="0"/>
        </w:numPr>
        <w:tabs>
          <w:tab w:val="clear" w:pos="1134"/>
          <w:tab w:val="left" w:pos="0" w:leader="none"/>
          <w:tab w:val="left" w:pos="709" w:leader="none"/>
          <w:tab w:val="left" w:pos="10632" w:leader="none"/>
        </w:tabs>
        <w:ind w:hanging="0" w:start="0" w:end="-1"/>
        <w:jc w:val="both"/>
        <w:rPr/>
      </w:pPr>
      <w:r>
        <w:rPr>
          <w:b w:val="false"/>
          <w:sz w:val="22"/>
          <w:szCs w:val="22"/>
          <w:lang w:val="bg-BG"/>
        </w:rPr>
        <w:tab/>
        <w:t>Годишната програма за вътрешни одити съдържа:</w:t>
      </w:r>
    </w:p>
    <w:p>
      <w:pPr>
        <w:pStyle w:val="Heading3"/>
        <w:keepNext w:val="false"/>
        <w:widowControl/>
        <w:numPr>
          <w:ilvl w:val="0"/>
          <w:numId w:val="5"/>
        </w:numPr>
        <w:tabs>
          <w:tab w:val="clear" w:pos="1134"/>
          <w:tab w:val="left" w:pos="851" w:leader="none"/>
          <w:tab w:val="left" w:pos="10632" w:leader="none"/>
        </w:tabs>
        <w:ind w:hanging="0" w:start="567" w:end="0"/>
        <w:jc w:val="both"/>
        <w:rPr>
          <w:b w:val="false"/>
          <w:sz w:val="22"/>
          <w:szCs w:val="22"/>
          <w:lang w:val="bg-BG"/>
        </w:rPr>
      </w:pPr>
      <w:r>
        <w:rPr>
          <w:b w:val="false"/>
          <w:sz w:val="22"/>
          <w:szCs w:val="22"/>
          <w:lang w:val="bg-BG"/>
        </w:rPr>
        <w:t>Обект на одита;</w:t>
      </w:r>
    </w:p>
    <w:p>
      <w:pPr>
        <w:pStyle w:val="Heading3"/>
        <w:keepNext w:val="false"/>
        <w:widowControl/>
        <w:numPr>
          <w:ilvl w:val="0"/>
          <w:numId w:val="5"/>
        </w:numPr>
        <w:tabs>
          <w:tab w:val="clear" w:pos="1134"/>
          <w:tab w:val="left" w:pos="851" w:leader="none"/>
          <w:tab w:val="left" w:pos="10632" w:leader="none"/>
        </w:tabs>
        <w:ind w:hanging="0" w:start="567" w:end="0"/>
        <w:jc w:val="both"/>
        <w:rPr>
          <w:b w:val="false"/>
          <w:sz w:val="22"/>
          <w:szCs w:val="22"/>
          <w:lang w:val="bg-BG"/>
        </w:rPr>
      </w:pPr>
      <w:r>
        <w:rPr>
          <w:b w:val="false"/>
          <w:sz w:val="22"/>
          <w:szCs w:val="22"/>
          <w:lang w:val="bg-BG"/>
        </w:rPr>
        <w:t>Обхват на одита;</w:t>
      </w:r>
    </w:p>
    <w:p>
      <w:pPr>
        <w:pStyle w:val="Heading3"/>
        <w:keepNext w:val="false"/>
        <w:widowControl/>
        <w:numPr>
          <w:ilvl w:val="0"/>
          <w:numId w:val="5"/>
        </w:numPr>
        <w:tabs>
          <w:tab w:val="clear" w:pos="1134"/>
          <w:tab w:val="left" w:pos="851" w:leader="none"/>
          <w:tab w:val="left" w:pos="10632" w:leader="none"/>
        </w:tabs>
        <w:ind w:hanging="0" w:start="567" w:end="0"/>
        <w:jc w:val="both"/>
        <w:rPr>
          <w:b w:val="false"/>
          <w:sz w:val="22"/>
          <w:szCs w:val="22"/>
          <w:lang w:val="bg-BG"/>
        </w:rPr>
      </w:pPr>
      <w:r>
        <w:rPr>
          <w:b w:val="false"/>
          <w:sz w:val="22"/>
          <w:szCs w:val="22"/>
          <w:lang w:val="bg-BG"/>
        </w:rPr>
        <w:t>Времетраене на одита;</w:t>
      </w:r>
    </w:p>
    <w:p>
      <w:pPr>
        <w:pStyle w:val="Heading3"/>
        <w:keepNext w:val="false"/>
        <w:widowControl/>
        <w:numPr>
          <w:ilvl w:val="0"/>
          <w:numId w:val="5"/>
        </w:numPr>
        <w:tabs>
          <w:tab w:val="clear" w:pos="1134"/>
          <w:tab w:val="left" w:pos="851" w:leader="none"/>
          <w:tab w:val="left" w:pos="10632" w:leader="none"/>
        </w:tabs>
        <w:ind w:hanging="0" w:start="567" w:end="0"/>
        <w:jc w:val="both"/>
        <w:rPr>
          <w:b w:val="false"/>
          <w:sz w:val="22"/>
          <w:szCs w:val="22"/>
          <w:lang w:val="bg-BG"/>
        </w:rPr>
      </w:pPr>
      <w:r>
        <w:rPr>
          <w:b w:val="false"/>
          <w:sz w:val="22"/>
          <w:szCs w:val="22"/>
          <w:lang w:val="bg-BG"/>
        </w:rPr>
        <w:t>Ръководител на одита;</w:t>
      </w:r>
    </w:p>
    <w:p>
      <w:pPr>
        <w:pStyle w:val="Heading3"/>
        <w:keepNext w:val="false"/>
        <w:widowControl/>
        <w:numPr>
          <w:ilvl w:val="0"/>
          <w:numId w:val="5"/>
        </w:numPr>
        <w:tabs>
          <w:tab w:val="clear" w:pos="1134"/>
          <w:tab w:val="left" w:pos="851" w:leader="none"/>
          <w:tab w:val="left" w:pos="10632" w:leader="none"/>
        </w:tabs>
        <w:ind w:hanging="0" w:start="567" w:end="0"/>
        <w:jc w:val="both"/>
        <w:rPr>
          <w:b w:val="false"/>
          <w:sz w:val="22"/>
          <w:szCs w:val="22"/>
          <w:lang w:val="bg-BG"/>
        </w:rPr>
      </w:pPr>
      <w:r>
        <w:rPr>
          <w:b w:val="false"/>
          <w:sz w:val="22"/>
          <w:szCs w:val="22"/>
          <w:lang w:val="bg-BG"/>
        </w:rPr>
        <w:t>Списък на вътрешните одитори;</w:t>
      </w:r>
    </w:p>
    <w:p>
      <w:pPr>
        <w:pStyle w:val="Heading3"/>
        <w:keepNext w:val="false"/>
        <w:widowControl/>
        <w:numPr>
          <w:ilvl w:val="0"/>
          <w:numId w:val="0"/>
        </w:numPr>
        <w:tabs>
          <w:tab w:val="clear" w:pos="1134"/>
          <w:tab w:val="left" w:pos="0" w:leader="none"/>
          <w:tab w:val="left" w:pos="709" w:leader="none"/>
          <w:tab w:val="left" w:pos="10632" w:leader="none"/>
        </w:tabs>
        <w:ind w:hanging="0" w:start="0" w:end="-1"/>
        <w:jc w:val="both"/>
        <w:rPr>
          <w:b w:val="false"/>
          <w:sz w:val="22"/>
          <w:szCs w:val="22"/>
          <w:lang w:val="bg-BG"/>
        </w:rPr>
      </w:pPr>
      <w:r>
        <w:rPr>
          <w:b w:val="false"/>
          <w:sz w:val="22"/>
          <w:szCs w:val="22"/>
          <w:lang w:val="bg-BG"/>
        </w:rPr>
        <w:tab/>
        <w:t xml:space="preserve">Докладът за извършения одит съдържа подробности за проверените звена, възприетите изисквания и констатации дали има съответствие с тези изисквания. </w:t>
      </w:r>
      <w:r>
        <w:rPr>
          <w:rFonts w:cs="Arial"/>
          <w:b w:val="false"/>
          <w:sz w:val="22"/>
          <w:szCs w:val="22"/>
          <w:lang w:val="bg-BG"/>
        </w:rPr>
        <w:t>Одиторският доклад трябва да бъде компетентен и обективен.</w:t>
      </w:r>
    </w:p>
    <w:p>
      <w:pPr>
        <w:pStyle w:val="Heading3"/>
        <w:keepNext w:val="false"/>
        <w:widowControl/>
        <w:numPr>
          <w:ilvl w:val="0"/>
          <w:numId w:val="0"/>
        </w:numPr>
        <w:tabs>
          <w:tab w:val="clear" w:pos="1134"/>
          <w:tab w:val="left" w:pos="0" w:leader="none"/>
          <w:tab w:val="left" w:pos="709" w:leader="none"/>
          <w:tab w:val="left" w:pos="10632" w:leader="none"/>
        </w:tabs>
        <w:ind w:hanging="0" w:start="0" w:end="-1"/>
        <w:jc w:val="both"/>
        <w:rPr/>
      </w:pPr>
      <w:r>
        <w:rPr>
          <w:b w:val="false"/>
          <w:sz w:val="22"/>
          <w:szCs w:val="22"/>
          <w:lang w:val="bg-BG"/>
        </w:rPr>
        <w:tab/>
        <w:t xml:space="preserve">Докладите за несъответствия трябва да съдържат подробно описание на несъответствието, което е открито по време на одита. </w:t>
      </w:r>
      <w:r>
        <w:rPr>
          <w:rFonts w:cs="Arial"/>
          <w:b w:val="false"/>
          <w:sz w:val="22"/>
          <w:szCs w:val="22"/>
          <w:lang w:val="bg-BG"/>
        </w:rPr>
        <w:t xml:space="preserve">За всяко открито несъответствие вътрешният одитор попълва доклад за несъответствие, а съответният отговорен служител определя коригиращо действие. В случаите, когато такова не може да се определи в момента на одита, решение на проблема се търси под ръководството на ПР за СУ. При необходимост той свиква всички заинтересовани страни за определяне на коригиращото действие. </w:t>
      </w:r>
    </w:p>
    <w:p>
      <w:pPr>
        <w:pStyle w:val="Heading4"/>
        <w:keepNext w:val="false"/>
        <w:widowControl/>
        <w:numPr>
          <w:ilvl w:val="0"/>
          <w:numId w:val="0"/>
        </w:numPr>
        <w:tabs>
          <w:tab w:val="clear" w:pos="708"/>
          <w:tab w:val="left" w:pos="0" w:leader="none"/>
          <w:tab w:val="left" w:pos="709" w:leader="none"/>
          <w:tab w:val="left" w:pos="10632" w:leader="none"/>
        </w:tabs>
        <w:spacing w:before="0" w:after="0"/>
        <w:ind w:hanging="0" w:start="0"/>
        <w:jc w:val="both"/>
        <w:rPr>
          <w:rFonts w:ascii="Arial" w:hAnsi="Arial" w:cs="Arial"/>
          <w:b w:val="false"/>
          <w:sz w:val="22"/>
          <w:szCs w:val="22"/>
          <w:lang w:val="bg-BG"/>
        </w:rPr>
      </w:pPr>
      <w:r>
        <w:rPr>
          <w:rFonts w:cs="Arial" w:ascii="Arial" w:hAnsi="Arial"/>
          <w:b w:val="false"/>
          <w:sz w:val="22"/>
          <w:szCs w:val="22"/>
          <w:lang w:val="bg-BG"/>
        </w:rPr>
        <w:tab/>
        <w:t>Водещият одитор ясно и точно предава същността на констатациите, така че лесно да могат да се определят съответните коригиращи действия. Водещият одитор съобщава констатациите на ПР за СУ и останалите одитори, за да могат да се посочат последващи действия.</w:t>
      </w:r>
    </w:p>
    <w:p>
      <w:pPr>
        <w:pStyle w:val="Heading4"/>
        <w:keepNext w:val="false"/>
        <w:widowControl/>
        <w:numPr>
          <w:ilvl w:val="0"/>
          <w:numId w:val="0"/>
        </w:numPr>
        <w:tabs>
          <w:tab w:val="clear" w:pos="708"/>
          <w:tab w:val="left" w:pos="0" w:leader="none"/>
          <w:tab w:val="left" w:pos="709" w:leader="none"/>
          <w:tab w:val="left" w:pos="10632" w:leader="none"/>
        </w:tabs>
        <w:spacing w:before="0" w:after="0"/>
        <w:ind w:hanging="0" w:start="0"/>
        <w:jc w:val="both"/>
        <w:rPr/>
      </w:pPr>
      <w:r>
        <w:rPr>
          <w:rFonts w:cs="Arial" w:ascii="Arial" w:hAnsi="Arial"/>
          <w:b w:val="false"/>
          <w:sz w:val="22"/>
          <w:szCs w:val="22"/>
          <w:lang w:val="bg-BG"/>
        </w:rPr>
        <w:tab/>
        <w:t>Представеният запис трябва да може да се разбере при разглеждане далеч от обстановката на одита.</w:t>
      </w:r>
    </w:p>
    <w:p>
      <w:pPr>
        <w:pStyle w:val="Heading4"/>
        <w:keepNext w:val="false"/>
        <w:widowControl/>
        <w:numPr>
          <w:ilvl w:val="0"/>
          <w:numId w:val="0"/>
        </w:numPr>
        <w:tabs>
          <w:tab w:val="clear" w:pos="708"/>
          <w:tab w:val="left" w:pos="0" w:leader="none"/>
          <w:tab w:val="left" w:pos="709" w:leader="none"/>
          <w:tab w:val="left" w:pos="10632" w:leader="none"/>
        </w:tabs>
        <w:spacing w:before="0" w:after="0"/>
        <w:ind w:hanging="0" w:start="0"/>
        <w:jc w:val="both"/>
        <w:rPr/>
      </w:pPr>
      <w:r>
        <w:rPr>
          <w:rFonts w:cs="Arial" w:ascii="Arial" w:hAnsi="Arial"/>
          <w:b w:val="false"/>
          <w:sz w:val="22"/>
          <w:szCs w:val="22"/>
          <w:lang w:val="bg-BG"/>
        </w:rPr>
        <w:tab/>
        <w:t xml:space="preserve">Проверката за изпълнение на предписаните коригиращи действия и последващи проверки се извършва от одитора, регистрирал несъответствието, като следи за спазване на предвидените срокове. В случаите когато това не е възможно, ПР за СУ определя одитора, който да извърши проверката. </w:t>
      </w:r>
    </w:p>
    <w:p>
      <w:pPr>
        <w:pStyle w:val="Heading4"/>
        <w:keepNext w:val="false"/>
        <w:widowControl/>
        <w:numPr>
          <w:ilvl w:val="0"/>
          <w:numId w:val="0"/>
        </w:numPr>
        <w:tabs>
          <w:tab w:val="clear" w:pos="708"/>
          <w:tab w:val="left" w:pos="0" w:leader="none"/>
          <w:tab w:val="left" w:pos="709" w:leader="none"/>
          <w:tab w:val="left" w:pos="10632" w:leader="none"/>
        </w:tabs>
        <w:spacing w:before="0" w:after="0"/>
        <w:ind w:hanging="0" w:start="0"/>
        <w:jc w:val="both"/>
        <w:rPr/>
      </w:pPr>
      <w:r>
        <w:rPr>
          <w:rFonts w:cs="Arial" w:ascii="Arial" w:hAnsi="Arial"/>
          <w:b w:val="false"/>
          <w:sz w:val="22"/>
          <w:szCs w:val="22"/>
          <w:lang w:val="bg-BG"/>
        </w:rPr>
        <w:tab/>
        <w:t xml:space="preserve">Одиторите провеждат последващия контрол, за да проследят практиката по съответния проблем след изпълнение на предвиденото коригиращо действие. Констатациите се вписват в съответното поле на формуляра Доклад за несъответствие, след което несъответствието се закрива или не. </w:t>
      </w:r>
    </w:p>
    <w:p>
      <w:pPr>
        <w:pStyle w:val="Heading4"/>
        <w:keepNext w:val="false"/>
        <w:widowControl/>
        <w:numPr>
          <w:ilvl w:val="0"/>
          <w:numId w:val="0"/>
        </w:numPr>
        <w:tabs>
          <w:tab w:val="clear" w:pos="708"/>
          <w:tab w:val="left" w:pos="709" w:leader="none"/>
          <w:tab w:val="left" w:pos="851" w:leader="none"/>
          <w:tab w:val="left" w:pos="10632" w:leader="none"/>
        </w:tabs>
        <w:spacing w:before="0" w:after="0"/>
        <w:ind w:hanging="0" w:start="0"/>
        <w:jc w:val="both"/>
        <w:rPr/>
      </w:pPr>
      <w:r>
        <w:rPr>
          <w:rFonts w:cs="Arial" w:ascii="Arial" w:hAnsi="Arial"/>
          <w:b w:val="false"/>
          <w:sz w:val="22"/>
          <w:szCs w:val="22"/>
          <w:lang w:val="bg-BG"/>
        </w:rPr>
        <w:tab/>
        <w:t>При неизпълнение на коригиращото действие в уточнения срок съответният одитор отбелязва този факт във формуляра Доклад за несъответствие и съставя нов такъв за същото несъответствие, като назначава нов срок за изпълнение на корекцията. ПР за СУ следи за пълното изпълнение на предписаните коригиращи действия и последващи проверки.</w:t>
      </w:r>
    </w:p>
    <w:p>
      <w:pPr>
        <w:pStyle w:val="BodyTextIndent2"/>
        <w:widowControl/>
        <w:tabs>
          <w:tab w:val="clear" w:pos="708"/>
          <w:tab w:val="left" w:pos="0" w:leader="none"/>
        </w:tabs>
        <w:rPr/>
      </w:pPr>
      <w:r>
        <w:rPr>
          <w:rFonts w:cs="Arial"/>
          <w:szCs w:val="22"/>
          <w:lang w:val="bg-BG"/>
        </w:rPr>
        <w:tab/>
        <w:t>Освен планираните одити, възможно е провеждането и на извънредни одити на участък или дейност при промяна в начина им на работа или констатирането на голям брой несъответствия при предишни одити.</w:t>
      </w:r>
    </w:p>
    <w:p>
      <w:pPr>
        <w:pStyle w:val="BodyTextIndent2"/>
        <w:widowControl/>
        <w:tabs>
          <w:tab w:val="clear" w:pos="708"/>
          <w:tab w:val="left" w:pos="0" w:leader="none"/>
        </w:tabs>
        <w:rPr/>
      </w:pPr>
      <w:r>
        <w:rPr>
          <w:szCs w:val="22"/>
          <w:lang w:val="bg-BG"/>
        </w:rPr>
        <w:tab/>
        <w:t>Съществено изискване при провеждане на проверката е одиторите да са независими от одитирания сектор и да не са част от екипа на одитирания обект.</w:t>
      </w:r>
    </w:p>
    <w:p>
      <w:pPr>
        <w:pStyle w:val="BodyTextIndent2"/>
        <w:widowControl/>
        <w:tabs>
          <w:tab w:val="clear" w:pos="708"/>
          <w:tab w:val="left" w:pos="0" w:leader="none"/>
        </w:tabs>
        <w:rPr>
          <w:szCs w:val="22"/>
          <w:lang w:val="bg-BG"/>
        </w:rPr>
      </w:pPr>
      <w:r>
        <w:rPr>
          <w:szCs w:val="22"/>
          <w:lang w:val="bg-BG"/>
        </w:rPr>
        <w:t>След приключване на одита, одиторският екип представя резултатите в доклад, който служи за анализ и определяне на навременни действия за предприемане на коригиращи действия и на техните причини при Прегледа от ръководството.</w:t>
      </w:r>
    </w:p>
    <w:p>
      <w:pPr>
        <w:pStyle w:val="BodyTextIndent2"/>
        <w:ind w:firstLine="708" w:end="0"/>
        <w:rPr>
          <w:szCs w:val="22"/>
          <w:lang w:val="bg-BG"/>
        </w:rPr>
      </w:pPr>
      <w:r>
        <w:rPr>
          <w:szCs w:val="22"/>
          <w:lang w:val="bg-BG"/>
        </w:rPr>
      </w:r>
    </w:p>
    <w:p>
      <w:pPr>
        <w:pStyle w:val="BodyTextIndent2"/>
        <w:rPr>
          <w:lang w:val="ru-RU"/>
        </w:rPr>
      </w:pPr>
      <w:r>
        <w:rPr>
          <w:lang w:val="ru-RU"/>
        </w:rPr>
        <w:tab/>
        <w:tab/>
        <w:tab/>
      </w:r>
    </w:p>
    <w:p>
      <w:pPr>
        <w:pStyle w:val="BodyTextIndent2"/>
        <w:rPr/>
      </w:pPr>
      <w:r>
        <w:rPr>
          <w:b/>
          <w:bCs/>
          <w:lang w:val="bg-BG"/>
        </w:rPr>
        <w:t>Документи по темата</w:t>
      </w:r>
      <w:r>
        <w:rPr/>
        <w:t xml:space="preserve"> </w:t>
      </w:r>
    </w:p>
    <w:tbl>
      <w:tblPr>
        <w:tblW w:w="9142" w:type="dxa"/>
        <w:jc w:val="start"/>
        <w:tblInd w:w="70" w:type="dxa"/>
        <w:tblLayout w:type="fixed"/>
        <w:tblCellMar>
          <w:top w:w="0" w:type="dxa"/>
          <w:start w:w="70" w:type="dxa"/>
          <w:bottom w:w="0" w:type="dxa"/>
          <w:end w:w="70" w:type="dxa"/>
        </w:tblCellMar>
      </w:tblPr>
      <w:tblGrid>
        <w:gridCol w:w="4536"/>
        <w:gridCol w:w="4606"/>
      </w:tblGrid>
      <w:tr>
        <w:trPr/>
        <w:tc>
          <w:tcPr>
            <w:tcW w:w="4536" w:type="dxa"/>
            <w:tcBorders>
              <w:top w:val="single" w:sz="4" w:space="0" w:color="000000"/>
              <w:start w:val="single" w:sz="4" w:space="0" w:color="000000"/>
              <w:bottom w:val="single" w:sz="4" w:space="0" w:color="000000"/>
              <w:end w:val="single" w:sz="4" w:space="0" w:color="000000"/>
            </w:tcBorders>
          </w:tcPr>
          <w:p>
            <w:pPr>
              <w:pStyle w:val="BodyTextIndent2"/>
              <w:rPr>
                <w:lang w:val="fr-FR"/>
              </w:rPr>
            </w:pPr>
            <w:r>
              <w:rPr>
                <w:lang w:val="bg-BG"/>
              </w:rPr>
              <w:t>ОП</w:t>
            </w:r>
            <w:r>
              <w:rPr>
                <w:lang w:val="fr-FR"/>
              </w:rPr>
              <w:t>5-01</w:t>
            </w:r>
            <w:r>
              <w:rPr>
                <w:lang w:val="bg-BG"/>
              </w:rPr>
              <w:t xml:space="preserve"> Вътрешни одити</w:t>
            </w:r>
          </w:p>
        </w:tc>
        <w:tc>
          <w:tcPr>
            <w:tcW w:w="4606" w:type="dxa"/>
            <w:tcBorders>
              <w:top w:val="single" w:sz="4" w:space="0" w:color="000000"/>
              <w:start w:val="single" w:sz="4" w:space="0" w:color="000000"/>
              <w:bottom w:val="single" w:sz="4" w:space="0" w:color="000000"/>
              <w:end w:val="single" w:sz="4" w:space="0" w:color="000000"/>
            </w:tcBorders>
          </w:tcPr>
          <w:p>
            <w:pPr>
              <w:pStyle w:val="BodyTextIndent2"/>
              <w:rPr/>
            </w:pPr>
            <w:r>
              <w:rPr>
                <w:lang w:val="bg-BG"/>
              </w:rPr>
              <w:t>Ф</w:t>
            </w:r>
            <w:r>
              <w:rPr/>
              <w:t>5-0</w:t>
            </w:r>
            <w:r>
              <w:rPr>
                <w:lang w:val="en-US"/>
              </w:rPr>
              <w:t>1</w:t>
            </w:r>
            <w:r>
              <w:rPr>
                <w:lang w:val="bg-BG"/>
              </w:rPr>
              <w:t xml:space="preserve"> График за одити</w:t>
            </w:r>
          </w:p>
        </w:tc>
      </w:tr>
      <w:tr>
        <w:trPr/>
        <w:tc>
          <w:tcPr>
            <w:tcW w:w="4536" w:type="dxa"/>
            <w:tcBorders>
              <w:top w:val="single" w:sz="4" w:space="0" w:color="000000"/>
              <w:start w:val="single" w:sz="4" w:space="0" w:color="000000"/>
              <w:bottom w:val="single" w:sz="4" w:space="0" w:color="000000"/>
              <w:end w:val="single" w:sz="4" w:space="0" w:color="000000"/>
            </w:tcBorders>
          </w:tcPr>
          <w:p>
            <w:pPr>
              <w:pStyle w:val="BodyTextIndent2"/>
              <w:snapToGrid w:val="false"/>
              <w:rPr>
                <w:lang w:val="bg-BG"/>
              </w:rPr>
            </w:pPr>
            <w:r>
              <w:rPr>
                <w:lang w:val="bg-BG"/>
              </w:rPr>
            </w:r>
          </w:p>
        </w:tc>
        <w:tc>
          <w:tcPr>
            <w:tcW w:w="4606" w:type="dxa"/>
            <w:tcBorders>
              <w:top w:val="single" w:sz="4" w:space="0" w:color="000000"/>
              <w:start w:val="single" w:sz="4" w:space="0" w:color="000000"/>
              <w:bottom w:val="single" w:sz="4" w:space="0" w:color="000000"/>
              <w:end w:val="single" w:sz="4" w:space="0" w:color="000000"/>
            </w:tcBorders>
          </w:tcPr>
          <w:p>
            <w:pPr>
              <w:pStyle w:val="BodyTextIndent2"/>
              <w:rPr>
                <w:lang w:val="bg-BG"/>
              </w:rPr>
            </w:pPr>
            <w:r>
              <w:rPr>
                <w:lang w:val="bg-BG"/>
              </w:rPr>
              <w:t>Ф5-02 План за одит</w:t>
            </w:r>
          </w:p>
        </w:tc>
      </w:tr>
      <w:tr>
        <w:trPr/>
        <w:tc>
          <w:tcPr>
            <w:tcW w:w="4536" w:type="dxa"/>
            <w:tcBorders>
              <w:top w:val="single" w:sz="4" w:space="0" w:color="000000"/>
              <w:start w:val="single" w:sz="4" w:space="0" w:color="000000"/>
              <w:bottom w:val="single" w:sz="4" w:space="0" w:color="000000"/>
              <w:end w:val="single" w:sz="4" w:space="0" w:color="000000"/>
            </w:tcBorders>
          </w:tcPr>
          <w:p>
            <w:pPr>
              <w:pStyle w:val="BodyTextIndent2"/>
              <w:snapToGrid w:val="false"/>
              <w:rPr>
                <w:b w:val="false"/>
                <w:lang w:val="bg-BG"/>
              </w:rPr>
            </w:pPr>
            <w:r>
              <w:rPr>
                <w:b w:val="false"/>
                <w:lang w:val="bg-BG"/>
              </w:rPr>
            </w:r>
          </w:p>
        </w:tc>
        <w:tc>
          <w:tcPr>
            <w:tcW w:w="4606" w:type="dxa"/>
            <w:tcBorders>
              <w:top w:val="single" w:sz="4" w:space="0" w:color="000000"/>
              <w:start w:val="single" w:sz="4" w:space="0" w:color="000000"/>
              <w:bottom w:val="single" w:sz="4" w:space="0" w:color="000000"/>
              <w:end w:val="single" w:sz="4" w:space="0" w:color="000000"/>
            </w:tcBorders>
          </w:tcPr>
          <w:p>
            <w:pPr>
              <w:pStyle w:val="BodyTextIndent2"/>
              <w:rPr>
                <w:lang w:val="bg-BG"/>
              </w:rPr>
            </w:pPr>
            <w:r>
              <w:rPr>
                <w:lang w:val="bg-BG"/>
              </w:rPr>
              <w:t>Заповед за одит</w:t>
            </w:r>
          </w:p>
        </w:tc>
      </w:tr>
    </w:tbl>
    <w:p>
      <w:pPr>
        <w:pStyle w:val="BodyTextIndent2"/>
        <w:rPr>
          <w:lang w:val="ru-RU"/>
        </w:rPr>
      </w:pPr>
      <w:r>
        <w:rPr>
          <w:lang w:val="ru-RU"/>
        </w:rPr>
      </w:r>
    </w:p>
    <w:p>
      <w:pPr>
        <w:pStyle w:val="BodyText"/>
        <w:jc w:val="start"/>
        <w:rPr>
          <w:b w:val="false"/>
          <w:sz w:val="22"/>
          <w:lang w:val="ru-RU"/>
        </w:rPr>
      </w:pPr>
      <w:r>
        <w:rPr>
          <w:b w:val="false"/>
          <w:sz w:val="22"/>
          <w:lang w:val="ru-RU"/>
        </w:rPr>
      </w:r>
    </w:p>
    <w:p>
      <w:pPr>
        <w:pStyle w:val="Heading3"/>
        <w:ind w:hanging="0" w:start="0"/>
        <w:rPr>
          <w:lang w:val="ru-RU"/>
        </w:rPr>
      </w:pPr>
      <w:bookmarkStart w:id="0" w:name="_Hlk486806150"/>
      <w:r>
        <w:rPr>
          <w:lang w:val="ru-RU"/>
        </w:rPr>
        <w:t>5.2.3</w:t>
        <w:tab/>
      </w:r>
      <w:r>
        <w:rPr>
          <w:lang w:val="bg-BG"/>
        </w:rPr>
        <w:t>Контрол и измерване на процеси и продукти</w:t>
      </w:r>
      <w:bookmarkEnd w:id="0"/>
    </w:p>
    <w:p>
      <w:pPr>
        <w:pStyle w:val="BodyText"/>
        <w:jc w:val="start"/>
        <w:rPr>
          <w:b w:val="false"/>
          <w:sz w:val="22"/>
          <w:lang w:val="ru-RU"/>
        </w:rPr>
      </w:pPr>
      <w:r>
        <w:rPr>
          <w:b w:val="false"/>
          <w:sz w:val="22"/>
          <w:lang w:val="ru-RU"/>
        </w:rPr>
      </w:r>
    </w:p>
    <w:p>
      <w:pPr>
        <w:pStyle w:val="BodyTextIndent2"/>
        <w:ind w:firstLine="708" w:end="0"/>
        <w:rPr>
          <w:lang w:val="bg-BG"/>
        </w:rPr>
      </w:pPr>
      <w:r>
        <w:rPr>
          <w:lang w:val="bg-BG"/>
        </w:rPr>
        <w:t xml:space="preserve">За да се определи ефективността на извършваните процеси, а така също да се оцени доколко са постигнати целите, определени от ръководството на СМП ПЛЕВЕН ЕООД се извършва периодично измерване и анализ на базата на финансови и качествени показатели за индикиране степента на изпълнение на поставените цели и задачи, удовлетвореността на клиентите, персонала и другите заинтересовани страни от дейността на фирмата, а така също за ефективността на цялостното функциониране на Интегрираната система за управление и изпълнението на заложените в БДС EN ISO 45001:2023 изисквания. Ако планираните резултати не са постигнати се предприемат коригиращи действия, съгласно ОП5-03. </w:t>
      </w:r>
    </w:p>
    <w:p>
      <w:pPr>
        <w:pStyle w:val="BodyTextIndent2"/>
        <w:ind w:firstLine="708" w:end="0"/>
        <w:rPr>
          <w:lang w:val="bg-BG"/>
        </w:rPr>
      </w:pPr>
      <w:r>
        <w:rPr>
          <w:lang w:val="bg-BG"/>
        </w:rPr>
        <w:t>Предаването на готовите продукти на клиента се извършва единствено при завършване изпълнението на планираните мерки, проверяващи дали изискванията за продуктите са реализирани. Пакетът от мерки варира според условията на доставка, посочени в поръчката на клиенти и включва контрол на качеството на съхраняваните материали, качество на изпълнението, съставяне на приемо-предавателен протокол, удостоверяващ предаването на продуктите.</w:t>
      </w:r>
    </w:p>
    <w:p>
      <w:pPr>
        <w:pStyle w:val="BodyTextIndent2"/>
        <w:ind w:firstLine="708" w:end="0"/>
        <w:rPr>
          <w:lang w:val="bg-BG"/>
        </w:rPr>
      </w:pPr>
      <w:r>
        <w:rPr>
          <w:lang w:val="bg-BG"/>
        </w:rPr>
      </w:r>
    </w:p>
    <w:p>
      <w:pPr>
        <w:pStyle w:val="BodyTextIndent2"/>
        <w:ind w:firstLine="708" w:end="0"/>
        <w:rPr>
          <w:lang w:val="bg-BG"/>
        </w:rPr>
      </w:pPr>
      <w:r>
        <w:rPr>
          <w:lang w:val="bg-BG"/>
        </w:rPr>
      </w:r>
    </w:p>
    <w:p>
      <w:pPr>
        <w:pStyle w:val="BodyTextIndent2"/>
        <w:rPr/>
      </w:pPr>
      <w:r>
        <w:rPr>
          <w:b/>
          <w:sz w:val="28"/>
          <w:lang w:val="ru-RU"/>
        </w:rPr>
        <w:t>5.2.4</w:t>
        <w:tab/>
        <w:t xml:space="preserve">     </w:t>
      </w:r>
      <w:r>
        <w:rPr>
          <w:b/>
          <w:sz w:val="28"/>
          <w:lang w:val="bg-BG"/>
        </w:rPr>
        <w:t>Оценка на съответствието</w:t>
      </w:r>
    </w:p>
    <w:p>
      <w:pPr>
        <w:pStyle w:val="BodyTextIndent2"/>
        <w:rPr>
          <w:b/>
          <w:sz w:val="28"/>
          <w:lang w:val="bg-BG"/>
        </w:rPr>
      </w:pPr>
      <w:r>
        <w:rPr>
          <w:b/>
          <w:sz w:val="28"/>
          <w:lang w:val="bg-BG"/>
        </w:rPr>
      </w:r>
    </w:p>
    <w:p>
      <w:pPr>
        <w:pStyle w:val="BodyTextIndent2"/>
        <w:ind w:firstLine="708" w:end="0"/>
        <w:rPr/>
      </w:pPr>
      <w:r>
        <w:rPr>
          <w:lang w:val="bg-BG"/>
        </w:rPr>
        <w:t>В Декларацията от ръководството на СМП ПЛЕВЕН ЕООД за политиката по ЗБР се декларира постоянно прилагане, развитие и подобрение на системата и осигуряване на системен и обективен подход при вземането на решения.</w:t>
      </w:r>
    </w:p>
    <w:p>
      <w:pPr>
        <w:pStyle w:val="BodyTextIndent2"/>
        <w:ind w:firstLine="708" w:end="0"/>
        <w:rPr/>
      </w:pPr>
      <w:r>
        <w:rPr>
          <w:lang w:val="bg-BG"/>
        </w:rPr>
        <w:t xml:space="preserve">Осъществяваната политика и свързаните с нейното прилагане цели се базира на точна и обективна информация за състоянието на процесите, за съответствие с изискванията на нормативната документация, браншови и общи за бизнеса изисквания за опазване на околната среда и минимизиране рисковете за ЗБР. </w:t>
      </w:r>
    </w:p>
    <w:p>
      <w:pPr>
        <w:pStyle w:val="BodyTextIndent2"/>
        <w:ind w:firstLine="708" w:end="0"/>
        <w:rPr>
          <w:lang w:val="bg-BG"/>
        </w:rPr>
      </w:pPr>
      <w:r>
        <w:rPr>
          <w:lang w:val="bg-BG"/>
        </w:rPr>
        <w:t xml:space="preserve">      </w:t>
      </w:r>
      <w:r>
        <w:rPr>
          <w:lang w:val="bg-BG"/>
        </w:rPr>
        <w:t>Измерването на степента на осигуряване на здравето и безопасността при работа и резултатността от предприетите мерки за намаляване въздействието върху околната среда има за цел да определи:</w:t>
      </w:r>
    </w:p>
    <w:p>
      <w:pPr>
        <w:pStyle w:val="BodyTextIndent2"/>
        <w:numPr>
          <w:ilvl w:val="0"/>
          <w:numId w:val="3"/>
        </w:numPr>
        <w:rPr>
          <w:lang w:val="bg-BG"/>
        </w:rPr>
      </w:pPr>
      <w:r>
        <w:rPr>
          <w:lang w:val="bg-BG"/>
        </w:rPr>
        <w:t>постигнати ли са политиката и целите по ЗБР;</w:t>
      </w:r>
    </w:p>
    <w:p>
      <w:pPr>
        <w:pStyle w:val="BodyTextIndent2"/>
        <w:numPr>
          <w:ilvl w:val="0"/>
          <w:numId w:val="3"/>
        </w:numPr>
        <w:rPr>
          <w:lang w:val="bg-BG"/>
        </w:rPr>
      </w:pPr>
      <w:r>
        <w:rPr>
          <w:lang w:val="bg-BG"/>
        </w:rPr>
        <w:t>ефикасността на въведените и приложените мерки за овладяване на риска;</w:t>
      </w:r>
    </w:p>
    <w:p>
      <w:pPr>
        <w:pStyle w:val="BodyTextIndent2"/>
        <w:numPr>
          <w:ilvl w:val="0"/>
          <w:numId w:val="3"/>
        </w:numPr>
        <w:rPr>
          <w:lang w:val="bg-BG"/>
        </w:rPr>
      </w:pPr>
      <w:r>
        <w:rPr>
          <w:lang w:val="bg-BG"/>
        </w:rPr>
        <w:t>взети ли са поуки от проявени недостатъци на системата (злополуки, инциденти, случаи на заболявания и др.);</w:t>
      </w:r>
    </w:p>
    <w:p>
      <w:pPr>
        <w:pStyle w:val="BodyTextIndent2"/>
        <w:numPr>
          <w:ilvl w:val="0"/>
          <w:numId w:val="3"/>
        </w:numPr>
        <w:rPr>
          <w:lang w:val="bg-BG"/>
        </w:rPr>
      </w:pPr>
      <w:r>
        <w:rPr>
          <w:lang w:val="bg-BG"/>
        </w:rPr>
        <w:t xml:space="preserve">ефикасността на програмите за осъзнаване, обучение, обмен на информация и консултации за персонала и заинтересованите страни; </w:t>
      </w:r>
    </w:p>
    <w:p>
      <w:pPr>
        <w:pStyle w:val="BodyTextIndent2"/>
        <w:numPr>
          <w:ilvl w:val="0"/>
          <w:numId w:val="3"/>
        </w:numPr>
        <w:rPr>
          <w:lang w:val="bg-BG"/>
        </w:rPr>
      </w:pPr>
      <w:r>
        <w:rPr>
          <w:lang w:val="bg-BG"/>
        </w:rPr>
        <w:t>получена и използвана ли е информацията, която може да бъде използвана за преглед и за подобряване на аспекти от системата за управление на здравето и безопасността при работа и околна среда.</w:t>
      </w:r>
    </w:p>
    <w:p>
      <w:pPr>
        <w:pStyle w:val="BodyTextIndent2"/>
        <w:ind w:firstLine="708" w:end="0"/>
        <w:rPr/>
      </w:pPr>
      <w:r>
        <w:rPr>
          <w:lang w:val="bg-BG"/>
        </w:rPr>
        <w:t>Разработена е ОП5-04 „Система за оценяване на съответствието”. Води се Ф5-06 „Дневник за оценка на съответствието”.</w:t>
      </w:r>
    </w:p>
    <w:p>
      <w:pPr>
        <w:pStyle w:val="BodyTextIndent2"/>
        <w:ind w:firstLine="708" w:end="0"/>
        <w:rPr>
          <w:lang w:val="bg-BG"/>
        </w:rPr>
      </w:pPr>
      <w:r>
        <w:rPr>
          <w:lang w:val="bg-BG"/>
        </w:rPr>
        <w:t>Оценката  за съответствие с изискванията на нормативните документи служи за предприемане на  коригиращи и превантивни действия.</w:t>
      </w:r>
    </w:p>
    <w:p>
      <w:pPr>
        <w:pStyle w:val="BodyTextIndent2"/>
        <w:ind w:firstLine="708" w:end="0"/>
        <w:rPr>
          <w:lang w:val="bg-BG"/>
        </w:rPr>
      </w:pPr>
      <w:r>
        <w:rPr>
          <w:lang w:val="bg-BG"/>
        </w:rPr>
      </w:r>
    </w:p>
    <w:p>
      <w:pPr>
        <w:pStyle w:val="BodyTextIndent2"/>
        <w:rPr/>
      </w:pPr>
      <w:r>
        <w:rPr/>
        <w:t xml:space="preserve">Документи по темата </w:t>
      </w:r>
    </w:p>
    <w:tbl>
      <w:tblPr>
        <w:tblW w:w="9142" w:type="dxa"/>
        <w:jc w:val="start"/>
        <w:tblInd w:w="70" w:type="dxa"/>
        <w:tblLayout w:type="fixed"/>
        <w:tblCellMar>
          <w:top w:w="0" w:type="dxa"/>
          <w:start w:w="70" w:type="dxa"/>
          <w:bottom w:w="0" w:type="dxa"/>
          <w:end w:w="70" w:type="dxa"/>
        </w:tblCellMar>
      </w:tblPr>
      <w:tblGrid>
        <w:gridCol w:w="4536"/>
        <w:gridCol w:w="4606"/>
      </w:tblGrid>
      <w:tr>
        <w:trPr>
          <w:trHeight w:val="539" w:hRule="atLeast"/>
        </w:trPr>
        <w:tc>
          <w:tcPr>
            <w:tcW w:w="4536" w:type="dxa"/>
            <w:tcBorders>
              <w:top w:val="single" w:sz="4" w:space="0" w:color="000000"/>
              <w:start w:val="single" w:sz="4" w:space="0" w:color="000000"/>
              <w:bottom w:val="single" w:sz="4" w:space="0" w:color="000000"/>
              <w:end w:val="single" w:sz="4" w:space="0" w:color="000000"/>
            </w:tcBorders>
          </w:tcPr>
          <w:p>
            <w:pPr>
              <w:pStyle w:val="BodyTextIndent2"/>
              <w:rPr/>
            </w:pPr>
            <w:r>
              <w:rPr>
                <w:lang w:val="bg-BG"/>
              </w:rPr>
              <w:t>ОП5-04 „Система за оценяване на съответствието”</w:t>
            </w:r>
          </w:p>
        </w:tc>
        <w:tc>
          <w:tcPr>
            <w:tcW w:w="4606" w:type="dxa"/>
            <w:tcBorders>
              <w:top w:val="single" w:sz="4" w:space="0" w:color="000000"/>
              <w:start w:val="single" w:sz="4" w:space="0" w:color="000000"/>
              <w:bottom w:val="single" w:sz="4" w:space="0" w:color="000000"/>
              <w:end w:val="single" w:sz="4" w:space="0" w:color="000000"/>
            </w:tcBorders>
          </w:tcPr>
          <w:p>
            <w:pPr>
              <w:pStyle w:val="BodyTextIndent2"/>
              <w:snapToGrid w:val="false"/>
              <w:rPr>
                <w:lang w:val="bg-BG"/>
              </w:rPr>
            </w:pPr>
            <w:r>
              <w:rPr>
                <w:lang w:val="bg-BG"/>
              </w:rPr>
            </w:r>
          </w:p>
        </w:tc>
      </w:tr>
      <w:tr>
        <w:trPr>
          <w:trHeight w:val="539" w:hRule="atLeast"/>
        </w:trPr>
        <w:tc>
          <w:tcPr>
            <w:tcW w:w="4536" w:type="dxa"/>
            <w:tcBorders>
              <w:top w:val="single" w:sz="4" w:space="0" w:color="000000"/>
              <w:start w:val="single" w:sz="4" w:space="0" w:color="000000"/>
              <w:bottom w:val="single" w:sz="4" w:space="0" w:color="000000"/>
              <w:end w:val="single" w:sz="4" w:space="0" w:color="000000"/>
            </w:tcBorders>
          </w:tcPr>
          <w:p>
            <w:pPr>
              <w:pStyle w:val="BodyTextIndent2"/>
              <w:snapToGrid w:val="false"/>
              <w:rPr>
                <w:lang w:val="bg-BG"/>
              </w:rPr>
            </w:pPr>
            <w:r>
              <w:rPr>
                <w:lang w:val="bg-BG"/>
              </w:rPr>
            </w:r>
          </w:p>
        </w:tc>
        <w:tc>
          <w:tcPr>
            <w:tcW w:w="4606" w:type="dxa"/>
            <w:tcBorders>
              <w:top w:val="single" w:sz="4" w:space="0" w:color="000000"/>
              <w:start w:val="single" w:sz="4" w:space="0" w:color="000000"/>
              <w:bottom w:val="single" w:sz="4" w:space="0" w:color="000000"/>
              <w:end w:val="single" w:sz="4" w:space="0" w:color="000000"/>
            </w:tcBorders>
          </w:tcPr>
          <w:p>
            <w:pPr>
              <w:pStyle w:val="BodyTextIndent2"/>
              <w:rPr/>
            </w:pPr>
            <w:r>
              <w:rPr>
                <w:lang w:val="bg-BG"/>
              </w:rPr>
              <w:t>Ф5-06 „Дневник за оценка на съответствието”</w:t>
            </w:r>
          </w:p>
        </w:tc>
      </w:tr>
    </w:tbl>
    <w:p>
      <w:pPr>
        <w:pStyle w:val="BodyTextIndent2"/>
        <w:ind w:firstLine="708" w:end="0"/>
        <w:rPr>
          <w:lang w:val="bg-BG"/>
        </w:rPr>
      </w:pPr>
      <w:r>
        <w:rPr>
          <w:lang w:val="bg-BG"/>
        </w:rPr>
      </w:r>
    </w:p>
    <w:p>
      <w:pPr>
        <w:pStyle w:val="Heading2"/>
        <w:ind w:hanging="0" w:start="0"/>
        <w:rPr>
          <w:lang w:val="ru-RU"/>
        </w:rPr>
      </w:pPr>
      <w:bookmarkStart w:id="1" w:name="_Hlk486806165"/>
      <w:r>
        <w:rPr>
          <w:lang w:val="ru-RU"/>
        </w:rPr>
        <w:t>5.3</w:t>
        <w:tab/>
      </w:r>
      <w:r>
        <w:rPr>
          <w:lang w:val="bg-BG"/>
        </w:rPr>
        <w:t>Управление на несъответствия</w:t>
      </w:r>
      <w:bookmarkEnd w:id="1"/>
    </w:p>
    <w:p>
      <w:pPr>
        <w:pStyle w:val="Normal"/>
        <w:tabs>
          <w:tab w:val="clear" w:pos="708"/>
          <w:tab w:val="left" w:pos="709" w:leader="none"/>
        </w:tabs>
        <w:ind w:start="360" w:end="0"/>
        <w:rPr>
          <w:b w:val="false"/>
          <w:sz w:val="22"/>
          <w:lang w:val="ru-RU"/>
        </w:rPr>
      </w:pPr>
      <w:r>
        <w:rPr>
          <w:b w:val="false"/>
          <w:sz w:val="22"/>
          <w:lang w:val="ru-RU"/>
        </w:rPr>
      </w:r>
    </w:p>
    <w:p>
      <w:pPr>
        <w:pStyle w:val="BodyTextIndent2"/>
        <w:ind w:firstLine="708" w:end="0"/>
        <w:rPr/>
      </w:pPr>
      <w:r>
        <w:rPr>
          <w:lang w:val="bg-BG"/>
        </w:rPr>
        <w:t>Под несъответстващ изходен елемент (продукт, услуга, процес) се разбира такъв, който не отговаря на определените изисквания и очаквания.</w:t>
      </w:r>
    </w:p>
    <w:p>
      <w:pPr>
        <w:pStyle w:val="BodyTextIndent2"/>
        <w:ind w:firstLine="708" w:end="0"/>
        <w:rPr>
          <w:lang w:val="bg-BG"/>
        </w:rPr>
      </w:pPr>
      <w:r>
        <w:rPr>
          <w:lang w:val="bg-BG"/>
        </w:rPr>
        <w:t xml:space="preserve">За да се предотврати неволна употреба или предоставяне на услуга несъответстваща на установените критерии за качество са определени правилата и отговорностите по идентификация, маркиране, отстраняване, съхранение и управление на несъответстващи продукти/услуги. </w:t>
      </w:r>
    </w:p>
    <w:p>
      <w:pPr>
        <w:pStyle w:val="BodyTextIndent2"/>
        <w:ind w:firstLine="708" w:end="0"/>
        <w:rPr/>
      </w:pPr>
      <w:r>
        <w:rPr>
          <w:lang w:val="bg-BG"/>
        </w:rPr>
        <w:t>Несъответствия в продуктите и услугите се установяват при извършване на входящ/изходящ контрол или в процеса на тяхното използване. При констатиране на несъответствие продуктът или услугата се блокира до вземане на решение за разпореждане с него/нея, при което се попълва Доклад за несъответствие. В случаи, когато несъответствието се прояви след предоставяне на услуга, се предприемат действия, съответстващи на последствията от несъответствието – справяне с последствията или предприемане на действия за контрол и корекция (коригиращи действия).</w:t>
      </w:r>
    </w:p>
    <w:p>
      <w:pPr>
        <w:pStyle w:val="BodyTextIndent2"/>
        <w:ind w:firstLine="708" w:end="0"/>
        <w:rPr/>
      </w:pPr>
      <w:r>
        <w:rPr>
          <w:lang w:val="bg-BG"/>
        </w:rPr>
        <w:t>Разпореждането с несъответстваща услуга/продукт може да бъде:</w:t>
      </w:r>
    </w:p>
    <w:p>
      <w:pPr>
        <w:pStyle w:val="BodyTextIndent2"/>
        <w:numPr>
          <w:ilvl w:val="0"/>
          <w:numId w:val="4"/>
        </w:numPr>
        <w:rPr>
          <w:lang w:val="bg-BG"/>
        </w:rPr>
      </w:pPr>
      <w:r>
        <w:rPr>
          <w:lang w:val="bg-BG"/>
        </w:rPr>
        <w:t>Преработка и поправка на открития дефект;</w:t>
      </w:r>
    </w:p>
    <w:p>
      <w:pPr>
        <w:pStyle w:val="BodyTextIndent2"/>
        <w:numPr>
          <w:ilvl w:val="0"/>
          <w:numId w:val="4"/>
        </w:numPr>
        <w:rPr>
          <w:lang w:val="bg-BG"/>
        </w:rPr>
      </w:pPr>
      <w:r>
        <w:rPr>
          <w:lang w:val="bg-BG"/>
        </w:rPr>
        <w:t>Приемането на продукта с разрешено отклонение;</w:t>
      </w:r>
    </w:p>
    <w:p>
      <w:pPr>
        <w:pStyle w:val="BodyTextIndent2"/>
        <w:numPr>
          <w:ilvl w:val="0"/>
          <w:numId w:val="4"/>
        </w:numPr>
        <w:rPr>
          <w:lang w:val="bg-BG"/>
        </w:rPr>
      </w:pPr>
      <w:r>
        <w:rPr>
          <w:lang w:val="bg-BG"/>
        </w:rPr>
        <w:t>Бракуване и унищожаване на несъответстващия продукт</w:t>
      </w:r>
      <w:r>
        <w:rPr>
          <w:lang w:val="en-US"/>
        </w:rPr>
        <w:t>.</w:t>
      </w:r>
    </w:p>
    <w:p>
      <w:pPr>
        <w:pStyle w:val="BodyTextIndent2"/>
        <w:ind w:firstLine="708" w:end="0"/>
        <w:rPr>
          <w:lang w:val="bg-BG"/>
        </w:rPr>
      </w:pPr>
      <w:r>
        <w:rPr>
          <w:lang w:val="bg-BG"/>
        </w:rPr>
        <w:t>Несъответстващи продукти и услуги, които са минали през процес на подобряване следва да бъдат подложени на последващ контрол и изпитване, за да се установи напълно ли е отстранено несъответствието и отговаря ли продуктът на установените изисквания на Системата и стандарта по качество.</w:t>
      </w:r>
    </w:p>
    <w:p>
      <w:pPr>
        <w:pStyle w:val="BodyTextIndent2"/>
        <w:ind w:firstLine="708" w:end="0"/>
        <w:rPr>
          <w:lang w:val="bg-BG"/>
        </w:rPr>
      </w:pPr>
      <w:r>
        <w:rPr>
          <w:lang w:val="bg-BG"/>
        </w:rPr>
        <w:t>След корекция на несъответствието (корекция), изходният елемент се проверява отново за съответствие преди да бъде използван или доставен.</w:t>
      </w:r>
    </w:p>
    <w:p>
      <w:pPr>
        <w:pStyle w:val="BodyTextIndent2"/>
        <w:ind w:firstLine="708" w:end="0"/>
        <w:rPr>
          <w:lang w:val="bg-BG"/>
        </w:rPr>
      </w:pPr>
      <w:r>
        <w:rPr>
          <w:lang w:val="bg-BG"/>
        </w:rPr>
        <w:t>При установен голям брой несъответствия при вътрешни одити е възможно освен прилагане на необходимите коригиращи мерки, да се промени съответната процедура или частта от Наръчника, касаеща одитираната област.</w:t>
      </w:r>
    </w:p>
    <w:p>
      <w:pPr>
        <w:pStyle w:val="BodyTextIndent2"/>
        <w:ind w:firstLine="708" w:end="0"/>
        <w:rPr/>
      </w:pPr>
      <w:r>
        <w:rPr>
          <w:lang w:val="bg-BG"/>
        </w:rPr>
        <w:t xml:space="preserve">   </w:t>
      </w:r>
      <w:r>
        <w:rPr>
          <w:lang w:val="ru-RU"/>
        </w:rPr>
        <w:t xml:space="preserve"> </w:t>
      </w:r>
    </w:p>
    <w:p>
      <w:pPr>
        <w:pStyle w:val="BodyTextIndent2"/>
        <w:rPr/>
      </w:pPr>
      <w:r>
        <w:rPr>
          <w:b/>
          <w:bCs/>
          <w:lang w:val="bg-BG"/>
        </w:rPr>
        <w:t>Документи по темата</w:t>
      </w:r>
      <w:r>
        <w:rPr/>
        <w:t xml:space="preserve"> </w:t>
      </w:r>
    </w:p>
    <w:tbl>
      <w:tblPr>
        <w:tblW w:w="9302" w:type="dxa"/>
        <w:jc w:val="start"/>
        <w:tblInd w:w="70" w:type="dxa"/>
        <w:tblLayout w:type="fixed"/>
        <w:tblCellMar>
          <w:top w:w="0" w:type="dxa"/>
          <w:start w:w="70" w:type="dxa"/>
          <w:bottom w:w="0" w:type="dxa"/>
          <w:end w:w="70" w:type="dxa"/>
        </w:tblCellMar>
      </w:tblPr>
      <w:tblGrid>
        <w:gridCol w:w="5220"/>
        <w:gridCol w:w="4082"/>
      </w:tblGrid>
      <w:tr>
        <w:trPr/>
        <w:tc>
          <w:tcPr>
            <w:tcW w:w="5220" w:type="dxa"/>
            <w:tcBorders>
              <w:top w:val="single" w:sz="4" w:space="0" w:color="000000"/>
              <w:start w:val="single" w:sz="4" w:space="0" w:color="000000"/>
              <w:bottom w:val="single" w:sz="4" w:space="0" w:color="000000"/>
              <w:end w:val="single" w:sz="4" w:space="0" w:color="000000"/>
            </w:tcBorders>
          </w:tcPr>
          <w:p>
            <w:pPr>
              <w:pStyle w:val="BodyTextIndent2"/>
              <w:rPr>
                <w:lang w:val="ru-RU"/>
              </w:rPr>
            </w:pPr>
            <w:r>
              <w:rPr>
                <w:lang w:val="bg-BG"/>
              </w:rPr>
              <w:t>ОП</w:t>
            </w:r>
            <w:r>
              <w:rPr>
                <w:lang w:val="ru-RU"/>
              </w:rPr>
              <w:t>5-0</w:t>
            </w:r>
            <w:r>
              <w:rPr/>
              <w:t>2</w:t>
            </w:r>
            <w:r>
              <w:rPr>
                <w:lang w:val="ru-RU"/>
              </w:rPr>
              <w:t xml:space="preserve"> </w:t>
            </w:r>
            <w:r>
              <w:rPr>
                <w:lang w:val="bg-BG"/>
              </w:rPr>
              <w:t>Управление на несъответстващ продукт</w:t>
            </w:r>
          </w:p>
        </w:tc>
        <w:tc>
          <w:tcPr>
            <w:tcW w:w="4082" w:type="dxa"/>
            <w:tcBorders>
              <w:top w:val="single" w:sz="4" w:space="0" w:color="000000"/>
              <w:start w:val="single" w:sz="4" w:space="0" w:color="000000"/>
              <w:bottom w:val="single" w:sz="4" w:space="0" w:color="000000"/>
              <w:end w:val="single" w:sz="4" w:space="0" w:color="000000"/>
            </w:tcBorders>
          </w:tcPr>
          <w:p>
            <w:pPr>
              <w:pStyle w:val="BodyTextIndent2"/>
              <w:jc w:val="start"/>
              <w:rPr>
                <w:lang w:val="ru-RU"/>
              </w:rPr>
            </w:pPr>
            <w:r>
              <w:rPr>
                <w:lang w:val="bg-BG"/>
              </w:rPr>
              <w:t>Ф5-03</w:t>
            </w:r>
            <w:r>
              <w:rPr>
                <w:lang w:val="ru-RU"/>
              </w:rPr>
              <w:t xml:space="preserve"> Доклад за несъответствие  </w:t>
            </w:r>
          </w:p>
        </w:tc>
      </w:tr>
    </w:tbl>
    <w:p>
      <w:pPr>
        <w:pStyle w:val="BodyTextIndent2"/>
        <w:rPr>
          <w:lang w:val="ru-RU"/>
        </w:rPr>
      </w:pPr>
      <w:r>
        <w:rPr>
          <w:lang w:val="ru-RU"/>
        </w:rPr>
      </w:r>
    </w:p>
    <w:p>
      <w:pPr>
        <w:pStyle w:val="BodyTextIndent2"/>
        <w:rPr>
          <w:lang w:val="ru-RU"/>
        </w:rPr>
      </w:pPr>
      <w:r>
        <w:rPr>
          <w:lang w:val="ru-RU"/>
        </w:rPr>
      </w:r>
    </w:p>
    <w:p>
      <w:pPr>
        <w:pStyle w:val="Heading2"/>
        <w:ind w:hanging="0" w:start="0"/>
        <w:rPr>
          <w:lang w:val="ru-RU"/>
        </w:rPr>
      </w:pPr>
      <w:r>
        <w:rPr>
          <w:lang w:val="ru-RU"/>
        </w:rPr>
        <w:t>5.4</w:t>
        <w:tab/>
      </w:r>
      <w:r>
        <w:rPr>
          <w:lang w:val="bg-BG"/>
        </w:rPr>
        <w:t>Анализ на данните</w:t>
      </w:r>
    </w:p>
    <w:p>
      <w:pPr>
        <w:pStyle w:val="BodyTextIndent2"/>
        <w:ind w:firstLine="708" w:end="0"/>
        <w:rPr/>
      </w:pPr>
      <w:r>
        <w:rPr>
          <w:lang w:val="bg-BG"/>
        </w:rPr>
        <w:t xml:space="preserve"> </w:t>
      </w:r>
      <w:r>
        <w:rPr>
          <w:lang w:val="bg-BG"/>
        </w:rPr>
        <w:t xml:space="preserve">Ръководство на </w:t>
      </w:r>
      <w:r>
        <w:rPr>
          <w:szCs w:val="22"/>
          <w:lang w:val="bg-BG"/>
        </w:rPr>
        <w:t xml:space="preserve">СМП ПЛЕВЕН ЕООД </w:t>
      </w:r>
      <w:r>
        <w:rPr>
          <w:lang w:val="bg-BG"/>
        </w:rPr>
        <w:t>е определило методи за анализ на данни за оценяване съответствието на продуктите и услугите, динамиката на продажбите, удовлетвореността на клиентите, ефективността на прилаганата СУ, ефикасността на внедреното планиране и предприетите действия за овладяване на рисковете и възможностите, изпълнението на външни доставчици и необходимостта от подобряване на СУ. Обобщените резултати представят тенденциите в развитието на пазара, бизнес перспективите на дружеството, неговата конкурентоспособност и дават възможност да бъдат открити областите, в които е необходимо или възможно реализирането на подобрения чрез предприемане на съответни коригиращи действия.</w:t>
      </w:r>
    </w:p>
    <w:p>
      <w:pPr>
        <w:pStyle w:val="BodyTextIndent2"/>
        <w:ind w:firstLine="708" w:end="0"/>
        <w:rPr/>
      </w:pPr>
      <w:r>
        <w:rPr/>
        <w:t xml:space="preserve">Като основни източници на данни за анализа служат </w:t>
      </w:r>
      <w:r>
        <w:rPr>
          <w:lang w:val="bg-BG"/>
        </w:rPr>
        <w:t xml:space="preserve">данните постъпили от записите от СУ, </w:t>
      </w:r>
      <w:r>
        <w:rPr/>
        <w:t>докладите от направените вътрешни одити; проучванията на клиентската удовлетвореност; маркетинговите проучвания на пазара, конкурентите и предлаганите от тях продукти.</w:t>
      </w:r>
    </w:p>
    <w:p>
      <w:pPr>
        <w:pStyle w:val="BodyTextIndent2"/>
        <w:ind w:firstLine="708" w:end="0"/>
        <w:rPr/>
      </w:pPr>
      <w:r>
        <w:rPr/>
        <w:t xml:space="preserve">Заключенията от анализа на данни служат като оценка за пригодността и ефективността на </w:t>
      </w:r>
      <w:r>
        <w:rPr>
          <w:lang w:val="bg-BG"/>
        </w:rPr>
        <w:t>системата</w:t>
      </w:r>
      <w:r>
        <w:rPr/>
        <w:t xml:space="preserve"> за управление и приноса </w:t>
      </w:r>
      <w:r>
        <w:rPr>
          <w:lang w:val="bg-BG"/>
        </w:rPr>
        <w:t>и</w:t>
      </w:r>
      <w:r>
        <w:rPr/>
        <w:t xml:space="preserve"> в постигнатите финансови и пазарни резултати.</w:t>
      </w:r>
    </w:p>
    <w:p>
      <w:pPr>
        <w:pStyle w:val="BodyTextIndent2"/>
        <w:ind w:firstLine="708" w:end="0"/>
        <w:rPr>
          <w:b/>
        </w:rPr>
      </w:pPr>
      <w:r>
        <w:rPr/>
        <w:t xml:space="preserve">Всички фирмени анализи, свързани с бизнес процесите, целите и политиката по </w:t>
      </w:r>
      <w:r>
        <w:rPr>
          <w:lang w:val="bg-BG"/>
        </w:rPr>
        <w:t>ЗБР</w:t>
      </w:r>
      <w:r>
        <w:rPr/>
        <w:t xml:space="preserve"> са сам</w:t>
      </w:r>
      <w:r>
        <w:rPr>
          <w:lang w:val="bg-BG"/>
        </w:rPr>
        <w:t>о</w:t>
      </w:r>
      <w:r>
        <w:rPr/>
        <w:t xml:space="preserve"> за служебно ползване.</w:t>
      </w:r>
    </w:p>
    <w:p>
      <w:pPr>
        <w:pStyle w:val="Normal"/>
        <w:rPr>
          <w:b w:val="false"/>
          <w:lang w:val="bg-BG"/>
        </w:rPr>
      </w:pPr>
      <w:r>
        <w:rPr>
          <w:b w:val="false"/>
          <w:lang w:val="bg-BG"/>
        </w:rPr>
      </w:r>
    </w:p>
    <w:p>
      <w:pPr>
        <w:pStyle w:val="Heading2"/>
        <w:ind w:hanging="0" w:start="0"/>
        <w:rPr>
          <w:sz w:val="22"/>
          <w:lang w:val="ru-RU"/>
        </w:rPr>
      </w:pPr>
      <w:r>
        <w:rPr>
          <w:lang w:val="ru-RU"/>
        </w:rPr>
        <w:t>5.5</w:t>
        <w:tab/>
        <w:t>П</w:t>
      </w:r>
      <w:r>
        <w:rPr>
          <w:lang w:val="bg-BG"/>
        </w:rPr>
        <w:t>одобряване</w:t>
      </w:r>
    </w:p>
    <w:p>
      <w:pPr>
        <w:pStyle w:val="BodyTextIndent2"/>
        <w:rPr>
          <w:sz w:val="22"/>
          <w:lang w:val="bg-BG"/>
        </w:rPr>
      </w:pPr>
      <w:r>
        <w:rPr>
          <w:sz w:val="22"/>
          <w:lang w:val="bg-BG"/>
        </w:rPr>
      </w:r>
    </w:p>
    <w:p>
      <w:pPr>
        <w:pStyle w:val="BodyTextIndent2"/>
        <w:ind w:firstLine="708" w:end="0"/>
        <w:rPr/>
      </w:pPr>
      <w:r>
        <w:rPr>
          <w:b/>
          <w:sz w:val="26"/>
          <w:szCs w:val="26"/>
          <w:lang w:val="bg-BG"/>
        </w:rPr>
        <w:t>5.5.1 Постоянно подобряване</w:t>
      </w:r>
    </w:p>
    <w:p>
      <w:pPr>
        <w:pStyle w:val="BodyTextIndent2"/>
        <w:ind w:firstLine="708" w:end="0"/>
        <w:rPr>
          <w:b/>
          <w:sz w:val="26"/>
          <w:szCs w:val="26"/>
          <w:lang w:val="bg-BG"/>
        </w:rPr>
      </w:pPr>
      <w:r>
        <w:rPr>
          <w:b/>
          <w:sz w:val="26"/>
          <w:szCs w:val="26"/>
          <w:lang w:val="bg-BG"/>
        </w:rPr>
      </w:r>
    </w:p>
    <w:p>
      <w:pPr>
        <w:pStyle w:val="BodyTextIndent3"/>
        <w:ind w:firstLine="708" w:start="0" w:end="0"/>
        <w:jc w:val="both"/>
        <w:rPr/>
      </w:pPr>
      <w:r>
        <w:rPr>
          <w:b w:val="false"/>
          <w:sz w:val="22"/>
          <w:szCs w:val="20"/>
          <w:lang w:val="bg-BG"/>
        </w:rPr>
        <w:t>Ръководството и целият персонал се стремят непрекъснато до подобряват ефективността и ефикасността на извършваните от тях процеси и дейности с оглед реализиране на предварително определените в плана цели по качеството, а така също перманентно да усъвършенства действащата система за управление, която заедно с постоянно разширяващата се гама от предлагани услуги с все по-добри качества да доведе до по-пълно задоволяване на изискванията и желанията на клиентите, да се отчитат бъдещите потребности и очаквания и в крайна сметка до постигане на все по-висока удовлетвореност у потребителите.</w:t>
      </w:r>
    </w:p>
    <w:p>
      <w:pPr>
        <w:pStyle w:val="Normal"/>
        <w:ind w:firstLine="708" w:end="0"/>
        <w:jc w:val="both"/>
        <w:rPr>
          <w:b w:val="false"/>
          <w:sz w:val="22"/>
          <w:lang w:val="bg-BG"/>
        </w:rPr>
      </w:pPr>
      <w:r>
        <w:rPr>
          <w:b w:val="false"/>
          <w:sz w:val="22"/>
          <w:lang w:val="bg-BG"/>
        </w:rPr>
        <w:t>Предпоставките, които влияят и спомагат за постигане на непрекъснато подобряване са:</w:t>
      </w:r>
    </w:p>
    <w:p>
      <w:pPr>
        <w:pStyle w:val="Normal"/>
        <w:widowControl/>
        <w:numPr>
          <w:ilvl w:val="0"/>
          <w:numId w:val="2"/>
        </w:numPr>
        <w:jc w:val="both"/>
        <w:rPr>
          <w:b w:val="false"/>
          <w:sz w:val="22"/>
          <w:lang w:val="bg-BG"/>
        </w:rPr>
      </w:pPr>
      <w:r>
        <w:rPr>
          <w:b w:val="false"/>
          <w:sz w:val="22"/>
          <w:lang w:val="bg-BG"/>
        </w:rPr>
        <w:t>Ангажираност и заинтересованост както от страна на ръководство, така и от страна на целия персонал в прилагане и подобряване на изградената Интегрирана система за управление;</w:t>
      </w:r>
    </w:p>
    <w:p>
      <w:pPr>
        <w:pStyle w:val="Normal"/>
        <w:widowControl/>
        <w:numPr>
          <w:ilvl w:val="0"/>
          <w:numId w:val="2"/>
        </w:numPr>
        <w:jc w:val="both"/>
        <w:rPr>
          <w:b w:val="false"/>
          <w:sz w:val="22"/>
          <w:lang w:val="bg-BG"/>
        </w:rPr>
      </w:pPr>
      <w:r>
        <w:rPr>
          <w:b w:val="false"/>
          <w:sz w:val="22"/>
          <w:lang w:val="bg-BG"/>
        </w:rPr>
        <w:t>Организационна култура по отношение на индивидуалната отговорност;</w:t>
      </w:r>
    </w:p>
    <w:p>
      <w:pPr>
        <w:pStyle w:val="Normal"/>
        <w:widowControl/>
        <w:numPr>
          <w:ilvl w:val="0"/>
          <w:numId w:val="2"/>
        </w:numPr>
        <w:jc w:val="both"/>
        <w:rPr>
          <w:b w:val="false"/>
          <w:sz w:val="22"/>
          <w:lang w:val="bg-BG"/>
        </w:rPr>
      </w:pPr>
      <w:r>
        <w:rPr>
          <w:b w:val="false"/>
          <w:sz w:val="22"/>
          <w:lang w:val="bg-BG"/>
        </w:rPr>
        <w:t>Обучение и подготовка на служителите в принципите и практиката на стандарта;</w:t>
      </w:r>
    </w:p>
    <w:p>
      <w:pPr>
        <w:pStyle w:val="Normal"/>
        <w:widowControl/>
        <w:numPr>
          <w:ilvl w:val="0"/>
          <w:numId w:val="2"/>
        </w:numPr>
        <w:jc w:val="both"/>
        <w:rPr>
          <w:b w:val="false"/>
          <w:sz w:val="22"/>
          <w:lang w:val="bg-BG"/>
        </w:rPr>
      </w:pPr>
      <w:r>
        <w:rPr>
          <w:b w:val="false"/>
          <w:sz w:val="22"/>
          <w:lang w:val="bg-BG"/>
        </w:rPr>
        <w:t>Дружелюбен микроклимат, който създава условия за подобряване на качеството;</w:t>
      </w:r>
    </w:p>
    <w:p>
      <w:pPr>
        <w:pStyle w:val="Normal"/>
        <w:widowControl/>
        <w:numPr>
          <w:ilvl w:val="0"/>
          <w:numId w:val="2"/>
        </w:numPr>
        <w:jc w:val="both"/>
        <w:rPr>
          <w:b w:val="false"/>
          <w:sz w:val="22"/>
          <w:lang w:val="bg-BG"/>
        </w:rPr>
      </w:pPr>
      <w:r>
        <w:rPr>
          <w:b w:val="false"/>
          <w:sz w:val="22"/>
          <w:lang w:val="bg-BG"/>
        </w:rPr>
        <w:t>Поддържане на ефективна комуникация между различните отдели и стимулиране на работата в екип.</w:t>
      </w:r>
    </w:p>
    <w:p>
      <w:pPr>
        <w:pStyle w:val="Normal"/>
        <w:ind w:firstLine="708" w:end="0"/>
        <w:jc w:val="both"/>
        <w:rPr/>
      </w:pPr>
      <w:r>
        <w:rPr>
          <w:b w:val="false"/>
          <w:sz w:val="22"/>
          <w:lang w:val="bg-BG"/>
        </w:rPr>
        <w:t>Непрекъснатото подобряване се постига чрез активно прилагане на обявените от ръководство политика и цели и чрез внимателен анализ по време на Прегледите на ръководството на резултатите от проведените вътрешни одити и предприетите коригиращи действия.</w:t>
      </w:r>
    </w:p>
    <w:p>
      <w:pPr>
        <w:pStyle w:val="BodyTextIndent2"/>
        <w:rPr>
          <w:b/>
          <w:sz w:val="22"/>
          <w:lang w:val="bg-BG"/>
        </w:rPr>
      </w:pPr>
      <w:r>
        <w:rPr>
          <w:b/>
          <w:sz w:val="22"/>
          <w:lang w:val="bg-BG"/>
        </w:rPr>
      </w:r>
    </w:p>
    <w:p>
      <w:pPr>
        <w:pStyle w:val="BodyTextIndent2"/>
        <w:rPr>
          <w:b/>
          <w:sz w:val="26"/>
          <w:szCs w:val="26"/>
          <w:lang w:val="bg-BG"/>
        </w:rPr>
      </w:pPr>
      <w:r>
        <w:rPr>
          <w:lang w:val="bg-BG"/>
        </w:rPr>
        <w:tab/>
      </w:r>
      <w:r>
        <w:rPr>
          <w:b/>
          <w:sz w:val="26"/>
          <w:szCs w:val="26"/>
          <w:lang w:val="bg-BG"/>
        </w:rPr>
        <w:t>5.5.2 Коригиращи действия</w:t>
      </w:r>
    </w:p>
    <w:p>
      <w:pPr>
        <w:pStyle w:val="BodyTextIndent2"/>
        <w:rPr>
          <w:b/>
          <w:sz w:val="26"/>
          <w:szCs w:val="26"/>
          <w:lang w:val="bg-BG"/>
        </w:rPr>
      </w:pPr>
      <w:r>
        <w:rPr>
          <w:b/>
          <w:sz w:val="26"/>
          <w:szCs w:val="26"/>
          <w:lang w:val="bg-BG"/>
        </w:rPr>
      </w:r>
    </w:p>
    <w:p>
      <w:pPr>
        <w:pStyle w:val="BodyTextIndent2"/>
        <w:ind w:firstLine="708" w:end="0"/>
        <w:rPr/>
      </w:pPr>
      <w:r>
        <w:rPr>
          <w:lang w:val="bg-BG"/>
        </w:rPr>
        <w:t>Коригиращите действия се предприемат за отстраняване на причините за съществуващи несъответствия в продуктите/услугите или системата за управление, за да бъде предотвратено тяхното повторно възникване. Според характера и тежестта на несъответствието ПР за СУ оценява необходимостта от предприемане на действия за отстраняване на причините за несъответствието, за да не се повтори. За целта ПР за СУ анализира несъответствието, за да определи причините за възникването му и проучва дали съществуват подобни несъответствия или биха могли да възникнат такива в бъдеще. При по-сериозни несъответствия, ПР за СУ актуализира рисковете и възможностите, определени по време на планирането и внася изменения в ИСУ при необходимост. ПР за СУ провежда анализ на ефективността на предприетите коригиращи мерки, като резултатите от анализа се вписват във Ф5-03/Ф5-04, след което след определено време се прави преглед на ефикасността на предприетите коригиращи мерки.</w:t>
      </w:r>
    </w:p>
    <w:p>
      <w:pPr>
        <w:pStyle w:val="BodyTextIndent2"/>
        <w:rPr/>
      </w:pPr>
      <w:r>
        <w:rPr>
          <w:lang w:val="bg-BG"/>
        </w:rPr>
        <w:tab/>
        <w:t>Документираните несъответствия и предприетите коригиращи мерки се съхраняват от ПР за СУ.</w:t>
      </w:r>
    </w:p>
    <w:p>
      <w:pPr>
        <w:pStyle w:val="BodyTextIndent2"/>
        <w:rPr>
          <w:b/>
          <w:lang w:val="bg-BG"/>
        </w:rPr>
      </w:pPr>
      <w:r>
        <w:rPr>
          <w:lang w:val="bg-BG"/>
        </w:rPr>
        <w:t>Разработена е  ОП4-05 „Планиране и действия при извънредни ситуации” изисква да се води Ф4-</w:t>
      </w:r>
      <w:r>
        <w:rPr>
          <w:lang w:val="en-US"/>
        </w:rPr>
        <w:t>47</w:t>
      </w:r>
      <w:r>
        <w:rPr>
          <w:lang w:val="bg-BG"/>
        </w:rPr>
        <w:t xml:space="preserve"> „Дневник за регистриране на инциденти и опасности”. Записите, създават историята на предприятието относно възникване на инциденти и конкретните мерки за ликвидирането им. Записите се съхраняват и дават възможност за проследяване на събитието: повторяемост, средства на контрол и т.н.</w:t>
      </w:r>
    </w:p>
    <w:p>
      <w:pPr>
        <w:pStyle w:val="BodyTextIndent2"/>
        <w:rPr/>
      </w:pPr>
      <w:r>
        <w:rPr>
          <w:lang w:val="bg-BG"/>
        </w:rPr>
        <w:t xml:space="preserve">            </w:t>
      </w:r>
      <w:r>
        <w:rPr>
          <w:lang w:val="bg-BG"/>
        </w:rPr>
        <w:t>При възникване на инциденти задължително се анализират причините довели до инцидента и предприетите действия. Актуализира се Ф4-</w:t>
      </w:r>
      <w:r>
        <w:rPr>
          <w:lang w:val="en-US"/>
        </w:rPr>
        <w:t>45</w:t>
      </w:r>
      <w:r>
        <w:rPr>
          <w:lang w:val="bg-BG"/>
        </w:rPr>
        <w:t xml:space="preserve"> „План за действие при извънредни ситуации” и Ф2-08</w:t>
      </w:r>
      <w:r>
        <w:rPr>
          <w:lang w:val="en-US"/>
        </w:rPr>
        <w:t xml:space="preserve"> </w:t>
      </w:r>
      <w:r>
        <w:rPr>
          <w:lang w:val="bg-BG"/>
        </w:rPr>
        <w:t xml:space="preserve">„Карта за оценка на риска“.  </w:t>
      </w:r>
    </w:p>
    <w:p>
      <w:pPr>
        <w:pStyle w:val="BodyTextIndent2"/>
        <w:rPr>
          <w:lang w:val="bg-BG"/>
        </w:rPr>
      </w:pPr>
      <w:r>
        <w:rPr>
          <w:lang w:val="bg-BG"/>
        </w:rPr>
        <w:t>Независимо от предприетите организационни действия за предотвратяване вредното въздействие на работната среда, е възможно  възникне на несъответствие.  При установяване на несъответствие  се процедира съгласно ОП-5</w:t>
      </w:r>
      <w:r>
        <w:rPr>
          <w:lang w:val="ru-RU"/>
        </w:rPr>
        <w:t>-0</w:t>
      </w:r>
      <w:r>
        <w:rPr/>
        <w:t>3</w:t>
      </w:r>
      <w:r>
        <w:rPr>
          <w:lang w:val="ru-RU"/>
        </w:rPr>
        <w:t xml:space="preserve"> </w:t>
      </w:r>
      <w:r>
        <w:rPr>
          <w:lang w:val="bg-BG"/>
        </w:rPr>
        <w:t>Корекция, профилактика и подобряване.</w:t>
      </w:r>
      <w:r>
        <w:rPr>
          <w:b/>
          <w:lang w:val="bg-BG"/>
        </w:rPr>
        <w:t xml:space="preserve">  </w:t>
      </w:r>
    </w:p>
    <w:p>
      <w:pPr>
        <w:pStyle w:val="BodyTextIndent2"/>
        <w:ind w:firstLine="708" w:end="0"/>
        <w:rPr>
          <w:color w:val="FF0000"/>
          <w:lang w:val="bg-BG"/>
        </w:rPr>
      </w:pPr>
      <w:r>
        <w:rPr>
          <w:color w:val="FF0000"/>
          <w:lang w:val="bg-BG"/>
        </w:rPr>
      </w:r>
    </w:p>
    <w:p>
      <w:pPr>
        <w:pStyle w:val="BodyTextIndent2"/>
        <w:rPr>
          <w:b/>
          <w:bCs/>
          <w:color w:val="FF0000"/>
          <w:lang w:val="bg-BG"/>
        </w:rPr>
      </w:pPr>
      <w:r>
        <w:rPr>
          <w:b/>
          <w:bCs/>
          <w:color w:val="FF0000"/>
          <w:lang w:val="bg-BG"/>
        </w:rPr>
      </w:r>
    </w:p>
    <w:p>
      <w:pPr>
        <w:pStyle w:val="BodyTextIndent2"/>
        <w:rPr/>
      </w:pPr>
      <w:r>
        <w:rPr>
          <w:b/>
          <w:bCs/>
          <w:lang w:val="bg-BG"/>
        </w:rPr>
        <w:t>Документи по темата</w:t>
      </w:r>
      <w:r>
        <w:rPr/>
        <w:t xml:space="preserve"> </w:t>
      </w:r>
    </w:p>
    <w:tbl>
      <w:tblPr>
        <w:tblW w:w="9142" w:type="dxa"/>
        <w:jc w:val="start"/>
        <w:tblInd w:w="70" w:type="dxa"/>
        <w:tblLayout w:type="fixed"/>
        <w:tblCellMar>
          <w:top w:w="0" w:type="dxa"/>
          <w:start w:w="70" w:type="dxa"/>
          <w:bottom w:w="0" w:type="dxa"/>
          <w:end w:w="70" w:type="dxa"/>
        </w:tblCellMar>
      </w:tblPr>
      <w:tblGrid>
        <w:gridCol w:w="4536"/>
        <w:gridCol w:w="4606"/>
      </w:tblGrid>
      <w:tr>
        <w:trPr/>
        <w:tc>
          <w:tcPr>
            <w:tcW w:w="4536" w:type="dxa"/>
            <w:tcBorders>
              <w:top w:val="single" w:sz="4" w:space="0" w:color="000000"/>
              <w:start w:val="single" w:sz="4" w:space="0" w:color="000000"/>
              <w:bottom w:val="single" w:sz="4" w:space="0" w:color="000000"/>
              <w:end w:val="single" w:sz="4" w:space="0" w:color="000000"/>
            </w:tcBorders>
          </w:tcPr>
          <w:p>
            <w:pPr>
              <w:pStyle w:val="BodyTextIndent2"/>
              <w:rPr>
                <w:lang w:val="ru-RU"/>
              </w:rPr>
            </w:pPr>
            <w:r>
              <w:rPr>
                <w:lang w:val="bg-BG"/>
              </w:rPr>
              <w:t>ОП-5</w:t>
            </w:r>
            <w:r>
              <w:rPr>
                <w:lang w:val="ru-RU"/>
              </w:rPr>
              <w:t>-0</w:t>
            </w:r>
            <w:r>
              <w:rPr/>
              <w:t>3</w:t>
            </w:r>
            <w:r>
              <w:rPr>
                <w:lang w:val="ru-RU"/>
              </w:rPr>
              <w:t xml:space="preserve"> </w:t>
            </w:r>
            <w:r>
              <w:rPr>
                <w:lang w:val="bg-BG"/>
              </w:rPr>
              <w:t>Корекция, профилактика и подобряване</w:t>
            </w:r>
          </w:p>
        </w:tc>
        <w:tc>
          <w:tcPr>
            <w:tcW w:w="4606" w:type="dxa"/>
            <w:tcBorders>
              <w:top w:val="single" w:sz="4" w:space="0" w:color="000000"/>
              <w:start w:val="single" w:sz="4" w:space="0" w:color="000000"/>
              <w:bottom w:val="single" w:sz="4" w:space="0" w:color="000000"/>
              <w:end w:val="single" w:sz="4" w:space="0" w:color="000000"/>
            </w:tcBorders>
          </w:tcPr>
          <w:p>
            <w:pPr>
              <w:pStyle w:val="BodyTextIndent2"/>
              <w:rPr>
                <w:lang w:val="ru-RU"/>
              </w:rPr>
            </w:pPr>
            <w:r>
              <w:rPr>
                <w:lang w:val="bg-BG"/>
              </w:rPr>
              <w:t>Ф</w:t>
            </w:r>
            <w:r>
              <w:rPr>
                <w:lang w:val="ru-RU"/>
              </w:rPr>
              <w:t xml:space="preserve">5-04 </w:t>
            </w:r>
            <w:r>
              <w:rPr>
                <w:lang w:val="bg-BG"/>
              </w:rPr>
              <w:t xml:space="preserve">Предложение за коригиращи мерки </w:t>
            </w:r>
          </w:p>
        </w:tc>
      </w:tr>
      <w:tr>
        <w:trPr/>
        <w:tc>
          <w:tcPr>
            <w:tcW w:w="4536" w:type="dxa"/>
            <w:tcBorders>
              <w:top w:val="single" w:sz="4" w:space="0" w:color="000000"/>
              <w:start w:val="single" w:sz="4" w:space="0" w:color="000000"/>
              <w:bottom w:val="single" w:sz="4" w:space="0" w:color="000000"/>
              <w:end w:val="single" w:sz="4" w:space="0" w:color="000000"/>
            </w:tcBorders>
          </w:tcPr>
          <w:p>
            <w:pPr>
              <w:pStyle w:val="BodyTextIndent2"/>
              <w:snapToGrid w:val="false"/>
              <w:rPr>
                <w:lang w:val="bg-BG"/>
              </w:rPr>
            </w:pPr>
            <w:r>
              <w:rPr>
                <w:lang w:val="bg-BG"/>
              </w:rPr>
            </w:r>
          </w:p>
        </w:tc>
        <w:tc>
          <w:tcPr>
            <w:tcW w:w="4606" w:type="dxa"/>
            <w:tcBorders>
              <w:top w:val="single" w:sz="4" w:space="0" w:color="000000"/>
              <w:start w:val="single" w:sz="4" w:space="0" w:color="000000"/>
              <w:bottom w:val="single" w:sz="4" w:space="0" w:color="000000"/>
              <w:end w:val="single" w:sz="4" w:space="0" w:color="000000"/>
            </w:tcBorders>
          </w:tcPr>
          <w:p>
            <w:pPr>
              <w:pStyle w:val="BodyTextIndent2"/>
              <w:rPr>
                <w:lang w:val="bg-BG"/>
              </w:rPr>
            </w:pPr>
            <w:r>
              <w:rPr>
                <w:lang w:val="bg-BG"/>
              </w:rPr>
              <w:t>Ф5-05 Регистър на коригиращите мерки</w:t>
            </w:r>
          </w:p>
        </w:tc>
      </w:tr>
      <w:tr>
        <w:trPr/>
        <w:tc>
          <w:tcPr>
            <w:tcW w:w="4536" w:type="dxa"/>
            <w:tcBorders>
              <w:top w:val="single" w:sz="4" w:space="0" w:color="000000"/>
              <w:start w:val="single" w:sz="4" w:space="0" w:color="000000"/>
              <w:bottom w:val="single" w:sz="4" w:space="0" w:color="000000"/>
              <w:end w:val="single" w:sz="4" w:space="0" w:color="000000"/>
            </w:tcBorders>
          </w:tcPr>
          <w:p>
            <w:pPr>
              <w:pStyle w:val="BodyTextIndent2"/>
              <w:rPr>
                <w:lang w:val="bg-BG"/>
              </w:rPr>
            </w:pPr>
            <w:r>
              <w:rPr>
                <w:lang w:val="bg-BG"/>
              </w:rPr>
              <w:t>ОП4-05 „Планиране и действия при извънредни ситуации”</w:t>
            </w:r>
          </w:p>
        </w:tc>
        <w:tc>
          <w:tcPr>
            <w:tcW w:w="4606" w:type="dxa"/>
            <w:tcBorders>
              <w:top w:val="single" w:sz="4" w:space="0" w:color="000000"/>
              <w:start w:val="single" w:sz="4" w:space="0" w:color="000000"/>
              <w:bottom w:val="single" w:sz="4" w:space="0" w:color="000000"/>
              <w:end w:val="single" w:sz="4" w:space="0" w:color="000000"/>
            </w:tcBorders>
          </w:tcPr>
          <w:p>
            <w:pPr>
              <w:pStyle w:val="BodyTextIndent2"/>
              <w:snapToGrid w:val="false"/>
              <w:rPr>
                <w:lang w:val="bg-BG"/>
              </w:rPr>
            </w:pPr>
            <w:r>
              <w:rPr>
                <w:lang w:val="bg-BG"/>
              </w:rPr>
            </w:r>
          </w:p>
        </w:tc>
      </w:tr>
      <w:tr>
        <w:trPr/>
        <w:tc>
          <w:tcPr>
            <w:tcW w:w="4536" w:type="dxa"/>
            <w:tcBorders>
              <w:top w:val="single" w:sz="4" w:space="0" w:color="000000"/>
              <w:start w:val="single" w:sz="4" w:space="0" w:color="000000"/>
              <w:bottom w:val="single" w:sz="4" w:space="0" w:color="000000"/>
              <w:end w:val="single" w:sz="4" w:space="0" w:color="000000"/>
            </w:tcBorders>
          </w:tcPr>
          <w:p>
            <w:pPr>
              <w:pStyle w:val="BodyTextIndent2"/>
              <w:snapToGrid w:val="false"/>
              <w:rPr>
                <w:lang w:val="bg-BG"/>
              </w:rPr>
            </w:pPr>
            <w:r>
              <w:rPr>
                <w:lang w:val="bg-BG"/>
              </w:rPr>
            </w:r>
          </w:p>
        </w:tc>
        <w:tc>
          <w:tcPr>
            <w:tcW w:w="4606" w:type="dxa"/>
            <w:tcBorders>
              <w:top w:val="single" w:sz="4" w:space="0" w:color="000000"/>
              <w:start w:val="single" w:sz="4" w:space="0" w:color="000000"/>
              <w:bottom w:val="single" w:sz="4" w:space="0" w:color="000000"/>
              <w:end w:val="single" w:sz="4" w:space="0" w:color="000000"/>
            </w:tcBorders>
          </w:tcPr>
          <w:p>
            <w:pPr>
              <w:pStyle w:val="BodyTextIndent2"/>
              <w:rPr>
                <w:lang w:val="bg-BG"/>
              </w:rPr>
            </w:pPr>
            <w:r>
              <w:rPr>
                <w:lang w:val="bg-BG"/>
              </w:rPr>
              <w:t>Ф4-</w:t>
            </w:r>
            <w:r>
              <w:rPr>
                <w:lang w:val="en-US"/>
              </w:rPr>
              <w:t>47</w:t>
            </w:r>
            <w:r>
              <w:rPr>
                <w:lang w:val="bg-BG"/>
              </w:rPr>
              <w:t xml:space="preserve"> „Дневник за регистриране на инциденти и опасности”</w:t>
            </w:r>
          </w:p>
        </w:tc>
      </w:tr>
      <w:tr>
        <w:trPr/>
        <w:tc>
          <w:tcPr>
            <w:tcW w:w="4536" w:type="dxa"/>
            <w:tcBorders>
              <w:top w:val="single" w:sz="4" w:space="0" w:color="000000"/>
              <w:start w:val="single" w:sz="4" w:space="0" w:color="000000"/>
              <w:bottom w:val="single" w:sz="4" w:space="0" w:color="000000"/>
              <w:end w:val="single" w:sz="4" w:space="0" w:color="000000"/>
            </w:tcBorders>
          </w:tcPr>
          <w:p>
            <w:pPr>
              <w:pStyle w:val="BodyTextIndent2"/>
              <w:snapToGrid w:val="false"/>
              <w:rPr>
                <w:lang w:val="bg-BG"/>
              </w:rPr>
            </w:pPr>
            <w:r>
              <w:rPr>
                <w:lang w:val="bg-BG"/>
              </w:rPr>
            </w:r>
          </w:p>
        </w:tc>
        <w:tc>
          <w:tcPr>
            <w:tcW w:w="4606" w:type="dxa"/>
            <w:tcBorders>
              <w:top w:val="single" w:sz="4" w:space="0" w:color="000000"/>
              <w:start w:val="single" w:sz="4" w:space="0" w:color="000000"/>
              <w:bottom w:val="single" w:sz="4" w:space="0" w:color="000000"/>
              <w:end w:val="single" w:sz="4" w:space="0" w:color="000000"/>
            </w:tcBorders>
          </w:tcPr>
          <w:p>
            <w:pPr>
              <w:pStyle w:val="BodyTextIndent2"/>
              <w:rPr>
                <w:lang w:val="bg-BG"/>
              </w:rPr>
            </w:pPr>
            <w:r>
              <w:rPr>
                <w:lang w:val="bg-BG"/>
              </w:rPr>
              <w:t>Ф4-</w:t>
            </w:r>
            <w:r>
              <w:rPr>
                <w:lang w:val="en-US"/>
              </w:rPr>
              <w:t>45</w:t>
            </w:r>
            <w:r>
              <w:rPr>
                <w:lang w:val="bg-BG"/>
              </w:rPr>
              <w:t xml:space="preserve"> „План за действие при извънредни ситуации”</w:t>
            </w:r>
          </w:p>
        </w:tc>
      </w:tr>
    </w:tbl>
    <w:p>
      <w:pPr>
        <w:pStyle w:val="BodyTextIndent2"/>
        <w:rPr>
          <w:lang w:val="ru-RU"/>
        </w:rPr>
      </w:pPr>
      <w:r>
        <w:rPr>
          <w:lang w:val="ru-RU"/>
        </w:rPr>
      </w:r>
    </w:p>
    <w:p>
      <w:pPr>
        <w:pStyle w:val="BodyTextIndent2"/>
        <w:rPr>
          <w:lang w:val="ru-RU"/>
        </w:rPr>
      </w:pPr>
      <w:r>
        <w:rPr>
          <w:lang w:val="ru-RU"/>
        </w:rPr>
      </w:r>
    </w:p>
    <w:p>
      <w:pPr>
        <w:pStyle w:val="BodyTextIndent2"/>
        <w:rPr>
          <w:lang w:val="ru-RU"/>
        </w:rPr>
      </w:pPr>
      <w:r>
        <w:rPr>
          <w:lang w:val="ru-RU"/>
        </w:rPr>
      </w:r>
    </w:p>
    <w:tbl>
      <w:tblPr>
        <w:tblW w:w="9645" w:type="dxa"/>
        <w:jc w:val="start"/>
        <w:tblInd w:w="-176" w:type="dxa"/>
        <w:tblLayout w:type="fixed"/>
        <w:tblCellMar>
          <w:top w:w="0" w:type="dxa"/>
          <w:start w:w="108" w:type="dxa"/>
          <w:bottom w:w="0" w:type="dxa"/>
          <w:end w:w="108" w:type="dxa"/>
        </w:tblCellMar>
      </w:tblPr>
      <w:tblGrid>
        <w:gridCol w:w="5104"/>
        <w:gridCol w:w="4541"/>
      </w:tblGrid>
      <w:tr>
        <w:trPr/>
        <w:tc>
          <w:tcPr>
            <w:tcW w:w="5104" w:type="dxa"/>
            <w:tcBorders>
              <w:top w:val="single" w:sz="4" w:space="0" w:color="000000"/>
              <w:start w:val="single" w:sz="4" w:space="0" w:color="000000"/>
              <w:bottom w:val="single" w:sz="4" w:space="0" w:color="000000"/>
              <w:end w:val="single" w:sz="4" w:space="0" w:color="000000"/>
            </w:tcBorders>
          </w:tcPr>
          <w:p>
            <w:pPr>
              <w:pStyle w:val="Normal"/>
              <w:rPr>
                <w:b w:val="false"/>
                <w:sz w:val="22"/>
                <w:lang w:val="bg-BG"/>
              </w:rPr>
            </w:pPr>
            <w:r>
              <w:rPr>
                <w:b w:val="false"/>
                <w:sz w:val="22"/>
                <w:lang w:val="bg-BG"/>
              </w:rPr>
              <w:t>Изготвил: ……………</w:t>
            </w:r>
          </w:p>
        </w:tc>
        <w:tc>
          <w:tcPr>
            <w:tcW w:w="4541" w:type="dxa"/>
            <w:tcBorders>
              <w:top w:val="single" w:sz="4" w:space="0" w:color="000000"/>
              <w:start w:val="single" w:sz="4" w:space="0" w:color="000000"/>
              <w:bottom w:val="single" w:sz="4" w:space="0" w:color="000000"/>
              <w:end w:val="single" w:sz="4" w:space="0" w:color="000000"/>
            </w:tcBorders>
          </w:tcPr>
          <w:p>
            <w:pPr>
              <w:pStyle w:val="Normal"/>
              <w:rPr>
                <w:b w:val="false"/>
                <w:sz w:val="22"/>
                <w:lang w:val="bg-BG"/>
              </w:rPr>
            </w:pPr>
            <w:r>
              <w:rPr>
                <w:b w:val="false"/>
                <w:sz w:val="22"/>
                <w:lang w:val="bg-BG"/>
              </w:rPr>
              <w:t>Утвърдил: ……………</w:t>
            </w:r>
          </w:p>
        </w:tc>
      </w:tr>
      <w:tr>
        <w:trPr/>
        <w:tc>
          <w:tcPr>
            <w:tcW w:w="5104" w:type="dxa"/>
            <w:tcBorders>
              <w:top w:val="single" w:sz="4" w:space="0" w:color="000000"/>
              <w:start w:val="single" w:sz="4" w:space="0" w:color="000000"/>
              <w:bottom w:val="single" w:sz="4" w:space="0" w:color="000000"/>
              <w:end w:val="single" w:sz="4" w:space="0" w:color="000000"/>
            </w:tcBorders>
          </w:tcPr>
          <w:p>
            <w:pPr>
              <w:pStyle w:val="Normal"/>
              <w:rPr/>
            </w:pPr>
            <w:r>
              <w:rPr>
                <w:b w:val="false"/>
                <w:sz w:val="22"/>
                <w:lang w:val="bg-BG"/>
              </w:rPr>
              <w:t>Дата: 12.01.2026 г.</w:t>
            </w:r>
          </w:p>
        </w:tc>
        <w:tc>
          <w:tcPr>
            <w:tcW w:w="4541" w:type="dxa"/>
            <w:tcBorders>
              <w:top w:val="single" w:sz="4" w:space="0" w:color="000000"/>
              <w:start w:val="single" w:sz="4" w:space="0" w:color="000000"/>
              <w:bottom w:val="single" w:sz="4" w:space="0" w:color="000000"/>
              <w:end w:val="single" w:sz="4" w:space="0" w:color="000000"/>
            </w:tcBorders>
          </w:tcPr>
          <w:p>
            <w:pPr>
              <w:pStyle w:val="Normal"/>
              <w:rPr/>
            </w:pPr>
            <w:r>
              <w:rPr>
                <w:b w:val="false"/>
                <w:sz w:val="22"/>
                <w:lang w:val="bg-BG"/>
              </w:rPr>
              <w:t>Дата: 12.01.2026 г.</w:t>
            </w:r>
          </w:p>
        </w:tc>
      </w:tr>
    </w:tbl>
    <w:p>
      <w:pPr>
        <w:pStyle w:val="BodyText"/>
        <w:jc w:val="start"/>
        <w:rPr>
          <w:b w:val="false"/>
          <w:sz w:val="22"/>
          <w:lang w:val="ru-RU"/>
        </w:rPr>
      </w:pPr>
      <w:r>
        <w:rPr>
          <w:b w:val="false"/>
          <w:sz w:val="22"/>
          <w:lang w:val="ru-RU"/>
        </w:rPr>
      </w:r>
    </w:p>
    <w:sectPr>
      <w:headerReference w:type="default" r:id="rId2"/>
      <w:footerReference w:type="default" r:id="rId3"/>
      <w:type w:val="nextPage"/>
      <w:pgSz w:w="11906" w:h="16838"/>
      <w:pgMar w:left="1417" w:right="1417" w:gutter="0" w:header="720" w:top="1417" w:footer="720" w:bottom="170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 w:name="Tahom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12" w:type="dxa"/>
      <w:jc w:val="start"/>
      <w:tblInd w:w="0" w:type="dxa"/>
      <w:tblLayout w:type="fixed"/>
      <w:tblCellMar>
        <w:top w:w="0" w:type="dxa"/>
        <w:start w:w="70" w:type="dxa"/>
        <w:bottom w:w="0" w:type="dxa"/>
        <w:end w:w="70" w:type="dxa"/>
      </w:tblCellMar>
    </w:tblPr>
    <w:tblGrid>
      <w:gridCol w:w="3670"/>
      <w:gridCol w:w="3204"/>
      <w:gridCol w:w="2338"/>
    </w:tblGrid>
    <w:tr>
      <w:trPr>
        <w:cantSplit/>
      </w:trPr>
      <w:tc>
        <w:tcPr>
          <w:tcW w:w="3670" w:type="dxa"/>
          <w:tcBorders>
            <w:top w:val="single" w:sz="6" w:space="0" w:color="000000"/>
          </w:tcBorders>
        </w:tcPr>
        <w:p>
          <w:pPr>
            <w:pStyle w:val="Footer"/>
            <w:rPr>
              <w:b w:val="false"/>
              <w:sz w:val="20"/>
              <w:lang w:val="pl-PL"/>
            </w:rPr>
          </w:pPr>
          <w:r>
            <w:rPr>
              <w:sz w:val="20"/>
              <w:lang w:val="pl-PL"/>
            </w:rPr>
            <w:tab/>
            <w:t xml:space="preserve">Seite </w:t>
          </w:r>
          <w:r>
            <w:rPr>
              <w:sz w:val="20"/>
            </w:rPr>
            <w:fldChar w:fldCharType="begin"/>
          </w:r>
          <w:r>
            <w:rPr>
              <w:sz w:val="20"/>
            </w:rPr>
            <w:instrText xml:space="preserve"> PAGE </w:instrText>
          </w:r>
          <w:r>
            <w:rPr>
              <w:sz w:val="20"/>
            </w:rPr>
            <w:fldChar w:fldCharType="separate"/>
          </w:r>
          <w:r>
            <w:rPr>
              <w:sz w:val="20"/>
            </w:rPr>
            <w:t>8</w:t>
          </w:r>
          <w:r>
            <w:rPr>
              <w:sz w:val="20"/>
            </w:rPr>
            <w:fldChar w:fldCharType="end"/>
          </w:r>
          <w:r>
            <w:rPr>
              <w:sz w:val="20"/>
              <w:lang w:val="pl-PL"/>
            </w:rPr>
            <w:tab/>
          </w:r>
          <w:r>
            <w:rPr>
              <w:sz w:val="20"/>
            </w:rPr>
            <w:fldChar w:fldCharType="begin"/>
          </w:r>
          <w:r>
            <w:rPr>
              <w:sz w:val="20"/>
            </w:rPr>
            <w:instrText xml:space="preserve"> DATE \@"dd.MM.yyyy" </w:instrText>
          </w:r>
          <w:r>
            <w:rPr>
              <w:sz w:val="20"/>
            </w:rPr>
            <w:fldChar w:fldCharType="separate"/>
          </w:r>
          <w:r>
            <w:rPr>
              <w:sz w:val="20"/>
            </w:rPr>
            <w:t>22.07.2026</w:t>
          </w:r>
          <w:r>
            <w:rPr>
              <w:sz w:val="20"/>
            </w:rPr>
            <w:fldChar w:fldCharType="end"/>
          </w:r>
        </w:p>
      </w:tc>
      <w:tc>
        <w:tcPr>
          <w:tcW w:w="3204" w:type="dxa"/>
          <w:tcBorders>
            <w:top w:val="single" w:sz="6" w:space="0" w:color="000000"/>
          </w:tcBorders>
        </w:tcPr>
        <w:p>
          <w:pPr>
            <w:pStyle w:val="Footer"/>
            <w:snapToGrid w:val="false"/>
            <w:rPr>
              <w:b w:val="false"/>
              <w:sz w:val="20"/>
              <w:lang w:val="pl-PL"/>
            </w:rPr>
          </w:pPr>
          <w:r>
            <w:rPr>
              <w:b w:val="false"/>
              <w:sz w:val="20"/>
              <w:lang w:val="pl-PL"/>
            </w:rPr>
          </w:r>
        </w:p>
      </w:tc>
      <w:tc>
        <w:tcPr>
          <w:tcW w:w="2338" w:type="dxa"/>
          <w:tcBorders>
            <w:top w:val="single" w:sz="6" w:space="0" w:color="000000"/>
          </w:tcBorders>
        </w:tcPr>
        <w:p>
          <w:pPr>
            <w:pStyle w:val="Footer"/>
            <w:rPr>
              <w:b w:val="false"/>
              <w:sz w:val="20"/>
            </w:rPr>
          </w:pPr>
          <w:r>
            <w:rPr>
              <w:b w:val="false"/>
              <w:sz w:val="20"/>
              <w:lang w:val="bg-BG"/>
            </w:rPr>
            <w:t>Стр.</w:t>
          </w:r>
          <w:r>
            <w:rPr>
              <w:b w:val="false"/>
              <w:sz w:val="20"/>
            </w:rPr>
            <w:t xml:space="preserve">: </w:t>
          </w:r>
          <w:r>
            <w:rPr>
              <w:b w:val="false"/>
              <w:sz w:val="20"/>
            </w:rPr>
            <w:fldChar w:fldCharType="begin"/>
          </w:r>
          <w:r>
            <w:rPr>
              <w:b w:val="false"/>
              <w:sz w:val="20"/>
            </w:rPr>
            <w:instrText xml:space="preserve"> PAGE </w:instrText>
          </w:r>
          <w:r>
            <w:rPr>
              <w:b w:val="false"/>
              <w:sz w:val="20"/>
            </w:rPr>
            <w:fldChar w:fldCharType="separate"/>
          </w:r>
          <w:r>
            <w:rPr>
              <w:b w:val="false"/>
              <w:sz w:val="20"/>
            </w:rPr>
            <w:t>8</w:t>
          </w:r>
          <w:r>
            <w:rPr>
              <w:b w:val="false"/>
              <w:sz w:val="20"/>
            </w:rPr>
            <w:fldChar w:fldCharType="end"/>
          </w:r>
          <w:r>
            <w:rPr>
              <w:b w:val="false"/>
              <w:sz w:val="20"/>
            </w:rPr>
            <w:t xml:space="preserve"> </w:t>
          </w:r>
          <w:r>
            <w:rPr>
              <w:b w:val="false"/>
              <w:sz w:val="20"/>
              <w:lang w:val="bg-BG"/>
            </w:rPr>
            <w:t>от</w:t>
          </w:r>
          <w:r>
            <w:rPr>
              <w:b w:val="false"/>
              <w:sz w:val="20"/>
            </w:rPr>
            <w:t xml:space="preserve"> </w:t>
          </w:r>
          <w:r>
            <w:rPr>
              <w:b w:val="false"/>
              <w:sz w:val="20"/>
            </w:rPr>
            <w:fldChar w:fldCharType="begin"/>
          </w:r>
          <w:r>
            <w:rPr>
              <w:b w:val="false"/>
              <w:sz w:val="20"/>
            </w:rPr>
            <w:instrText xml:space="preserve"> NUMPAGES \* ARABIC </w:instrText>
          </w:r>
          <w:r>
            <w:rPr>
              <w:b w:val="false"/>
              <w:sz w:val="20"/>
            </w:rPr>
            <w:fldChar w:fldCharType="separate"/>
          </w:r>
          <w:r>
            <w:rPr>
              <w:b w:val="false"/>
              <w:sz w:val="20"/>
            </w:rPr>
            <w:t>8</w:t>
          </w:r>
          <w:r>
            <w:rPr>
              <w:b w:val="false"/>
              <w:sz w:val="20"/>
            </w:rPr>
            <w:fldChar w:fldCharType="end"/>
          </w:r>
        </w:p>
      </w:tc>
    </w:tr>
    <w:tr>
      <w:trPr>
        <w:cantSplit/>
      </w:trPr>
      <w:tc>
        <w:tcPr>
          <w:tcW w:w="3670" w:type="dxa"/>
          <w:tcBorders/>
        </w:tcPr>
        <w:p>
          <w:pPr>
            <w:pStyle w:val="Footer"/>
            <w:rPr>
              <w:b w:val="false"/>
              <w:sz w:val="20"/>
            </w:rPr>
          </w:pPr>
          <w:r>
            <w:rPr>
              <w:b w:val="false"/>
              <w:sz w:val="20"/>
              <w:lang w:val="bg-BG"/>
            </w:rPr>
            <w:t>Ревизия 01</w:t>
          </w:r>
        </w:p>
      </w:tc>
      <w:tc>
        <w:tcPr>
          <w:tcW w:w="3204" w:type="dxa"/>
          <w:tcBorders/>
        </w:tcPr>
        <w:p>
          <w:pPr>
            <w:pStyle w:val="Footer"/>
            <w:snapToGrid w:val="false"/>
            <w:rPr>
              <w:b w:val="false"/>
              <w:sz w:val="20"/>
              <w:lang w:val="bg-BG"/>
            </w:rPr>
          </w:pPr>
          <w:r>
            <w:rPr>
              <w:b w:val="false"/>
              <w:sz w:val="20"/>
              <w:lang w:val="bg-BG"/>
            </w:rPr>
          </w:r>
        </w:p>
      </w:tc>
      <w:tc>
        <w:tcPr>
          <w:tcW w:w="2338" w:type="dxa"/>
          <w:tcBorders/>
        </w:tcPr>
        <w:p>
          <w:pPr>
            <w:pStyle w:val="Footer"/>
            <w:rPr/>
          </w:pPr>
          <w:r>
            <w:rPr>
              <w:b w:val="false"/>
              <w:sz w:val="20"/>
              <w:lang w:val="bg-BG"/>
            </w:rPr>
            <w:t>Дата</w:t>
          </w:r>
          <w:r>
            <w:rPr>
              <w:b w:val="false"/>
              <w:sz w:val="20"/>
            </w:rPr>
            <w:t>:</w:t>
          </w:r>
          <w:r>
            <w:rPr>
              <w:b w:val="false"/>
              <w:sz w:val="20"/>
              <w:lang w:val="bg-BG"/>
            </w:rPr>
            <w:t xml:space="preserve"> 12.01.2026г.</w:t>
          </w:r>
        </w:p>
      </w:tc>
    </w:tr>
  </w:tbl>
  <w:p>
    <w:pPr>
      <w:pStyle w:val="Footer"/>
      <w:rPr/>
    </w:pPr>
    <w:r>
      <w:rPr/>
    </w:r>
  </w:p>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62" w:type="dxa"/>
      <w:jc w:val="center"/>
      <w:tblInd w:w="0" w:type="dxa"/>
      <w:tblLayout w:type="fixed"/>
      <w:tblCellMar>
        <w:top w:w="0" w:type="dxa"/>
        <w:start w:w="71" w:type="dxa"/>
        <w:bottom w:w="0" w:type="dxa"/>
        <w:end w:w="71" w:type="dxa"/>
      </w:tblCellMar>
    </w:tblPr>
    <w:tblGrid>
      <w:gridCol w:w="2205"/>
      <w:gridCol w:w="5495"/>
      <w:gridCol w:w="1462"/>
    </w:tblGrid>
    <w:tr>
      <w:trPr>
        <w:trHeight w:val="723" w:hRule="exact"/>
      </w:trPr>
      <w:tc>
        <w:tcPr>
          <w:tcW w:w="2205" w:type="dxa"/>
          <w:vMerge w:val="restart"/>
          <w:tcBorders>
            <w:top w:val="single" w:sz="6" w:space="0" w:color="000000"/>
            <w:start w:val="single" w:sz="6" w:space="0" w:color="000000"/>
            <w:bottom w:val="single" w:sz="6" w:space="0" w:color="000000"/>
            <w:end w:val="single" w:sz="4" w:space="0" w:color="000000"/>
          </w:tcBorders>
          <w:vAlign w:val="center"/>
        </w:tcPr>
        <w:p>
          <w:pPr>
            <w:pStyle w:val="Normal"/>
            <w:jc w:val="center"/>
            <w:rPr>
              <w:b w:val="false"/>
              <w:lang w:val="bg-BG"/>
            </w:rPr>
          </w:pPr>
          <w:r>
            <w:rPr>
              <w:b w:val="false"/>
              <w:lang w:val="bg-BG"/>
            </w:rPr>
            <w:t>СМП ПЛЕВЕН ЕООД</w:t>
          </w:r>
        </w:p>
      </w:tc>
      <w:tc>
        <w:tcPr>
          <w:tcW w:w="54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val="false"/>
              <w:sz w:val="28"/>
              <w:lang w:val="bg-BG"/>
            </w:rPr>
          </w:pPr>
          <w:r>
            <w:rPr>
              <w:sz w:val="28"/>
              <w:lang w:val="bg-BG"/>
            </w:rPr>
            <w:t>Наръчник</w:t>
          </w:r>
        </w:p>
      </w:tc>
      <w:tc>
        <w:tcPr>
          <w:tcW w:w="1462" w:type="dxa"/>
          <w:vMerge w:val="restart"/>
          <w:tcBorders>
            <w:top w:val="single" w:sz="6" w:space="0" w:color="000000"/>
            <w:start w:val="single" w:sz="4" w:space="0" w:color="000000"/>
            <w:bottom w:val="single" w:sz="6" w:space="0" w:color="000000"/>
            <w:end w:val="single" w:sz="6" w:space="0" w:color="000000"/>
          </w:tcBorders>
          <w:vAlign w:val="center"/>
        </w:tcPr>
        <w:p>
          <w:pPr>
            <w:pStyle w:val="Normal"/>
            <w:jc w:val="center"/>
            <w:rPr/>
          </w:pPr>
          <w:r>
            <w:rPr>
              <w:b w:val="false"/>
              <w:lang w:val="bg-BG"/>
            </w:rPr>
            <w:t>док. ном.</w:t>
          </w:r>
          <w:r>
            <w:rPr>
              <w:b w:val="false"/>
            </w:rPr>
            <w:t>:</w:t>
          </w:r>
        </w:p>
        <w:p>
          <w:pPr>
            <w:pStyle w:val="Normal"/>
            <w:jc w:val="center"/>
            <w:rPr/>
          </w:pPr>
          <w:r>
            <w:rPr>
              <w:b w:val="false"/>
              <w:lang w:val="bg-BG"/>
            </w:rPr>
            <w:t>ИН</w:t>
          </w:r>
          <w:r>
            <w:rPr>
              <w:b w:val="false"/>
            </w:rPr>
            <w:t>5</w:t>
          </w:r>
        </w:p>
      </w:tc>
    </w:tr>
    <w:tr>
      <w:trPr>
        <w:trHeight w:val="672" w:hRule="exact"/>
      </w:trPr>
      <w:tc>
        <w:tcPr>
          <w:tcW w:w="2205" w:type="dxa"/>
          <w:vMerge w:val="continue"/>
          <w:tcBorders>
            <w:top w:val="single" w:sz="6" w:space="0" w:color="000000"/>
            <w:start w:val="single" w:sz="6" w:space="0" w:color="000000"/>
            <w:bottom w:val="single" w:sz="6" w:space="0" w:color="000000"/>
            <w:end w:val="single" w:sz="4" w:space="0" w:color="000000"/>
          </w:tcBorders>
          <w:vAlign w:val="center"/>
        </w:tcPr>
        <w:p>
          <w:pPr>
            <w:pStyle w:val="Normal"/>
            <w:snapToGrid w:val="false"/>
            <w:jc w:val="center"/>
            <w:rPr>
              <w:b w:val="false"/>
              <w:lang w:val="bg-BG"/>
            </w:rPr>
          </w:pPr>
          <w:r>
            <w:rPr>
              <w:b w:val="false"/>
              <w:lang w:val="bg-BG"/>
            </w:rPr>
          </w:r>
        </w:p>
      </w:tc>
      <w:tc>
        <w:tcPr>
          <w:tcW w:w="54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8"/>
            </w:rPr>
          </w:pPr>
          <w:r>
            <w:rPr>
              <w:sz w:val="28"/>
              <w:lang w:val="bg-BG"/>
            </w:rPr>
            <w:t>Измерване, анализ, подобряване</w:t>
          </w:r>
        </w:p>
      </w:tc>
      <w:tc>
        <w:tcPr>
          <w:tcW w:w="1462" w:type="dxa"/>
          <w:vMerge w:val="continue"/>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b w:val="false"/>
              <w:sz w:val="28"/>
              <w:lang w:val="bg-BG"/>
            </w:rPr>
          </w:pPr>
          <w:r>
            <w:rPr>
              <w:b w:val="false"/>
              <w:sz w:val="28"/>
              <w:lang w:val="bg-BG"/>
            </w:rPr>
          </w:r>
        </w:p>
      </w:tc>
    </w:tr>
  </w:tbl>
  <w:p>
    <w:pPr>
      <w:pStyle w:val="Header"/>
      <w:tabs>
        <w:tab w:val="clear" w:pos="4536"/>
        <w:tab w:val="clear" w:pos="9072"/>
      </w:tabs>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440"/>
        </w:tabs>
        <w:ind w:start="1440" w:hanging="360"/>
      </w:pPr>
      <w:rPr>
        <w:rFonts w:ascii="Symbol" w:hAnsi="Symbol" w:cs="Symbol" w:hint="default"/>
      </w:rPr>
    </w:lvl>
  </w:abstractNum>
  <w:abstractNum w:abstractNumId="3">
    <w:lvl w:ilvl="0">
      <w:start w:val="8"/>
      <w:numFmt w:val="bullet"/>
      <w:lvlText w:val="-"/>
      <w:lvlJc w:val="start"/>
      <w:pPr>
        <w:tabs>
          <w:tab w:val="num" w:pos="720"/>
        </w:tabs>
        <w:ind w:start="720" w:hanging="360"/>
      </w:pPr>
      <w:rPr>
        <w:rFonts w:ascii="Times New Roman" w:hAnsi="Times New Roman" w:cs="Times New Roman" w:hint="default"/>
      </w:rPr>
    </w:lvl>
  </w:abstractNum>
  <w:abstractNum w:abstractNumId="4">
    <w:lvl w:ilvl="0">
      <w:start w:val="1"/>
      <w:numFmt w:val="bullet"/>
      <w:lvlText w:val=""/>
      <w:lvlJc w:val="start"/>
      <w:pPr>
        <w:tabs>
          <w:tab w:val="num" w:pos="1428"/>
        </w:tabs>
        <w:ind w:start="1428" w:hanging="360"/>
      </w:pPr>
      <w:rPr>
        <w:rFonts w:ascii="Symbol" w:hAnsi="Symbol" w:cs="Symbol" w:hint="default"/>
        <w:color w:val="000000"/>
      </w:rPr>
    </w:lvl>
  </w:abstractNum>
  <w:abstractNum w:abstractNumId="5">
    <w:lvl w:ilvl="0">
      <w:start w:val="1"/>
      <w:numFmt w:val="bullet"/>
      <w:lvlText w:val=""/>
      <w:lvlJc w:val="start"/>
      <w:pPr>
        <w:tabs>
          <w:tab w:val="num" w:pos="1069"/>
        </w:tabs>
        <w:ind w:start="1069" w:hanging="360"/>
      </w:pPr>
      <w:rPr>
        <w:rFonts w:ascii="Wingdings" w:hAnsi="Wingdings" w:cs="Wingdings" w:hint="default"/>
      </w:rPr>
    </w:lvl>
  </w:abstractNum>
  <w:abstractNum w:abstractNumId="6">
    <w:lvl w:ilvl="0">
      <w:start w:val="1"/>
      <w:numFmt w:val="bullet"/>
      <w:lvlText w:val=""/>
      <w:lvlJc w:val="start"/>
      <w:pPr>
        <w:tabs>
          <w:tab w:val="num" w:pos="1428"/>
        </w:tabs>
        <w:ind w:start="1428" w:hanging="360"/>
      </w:pPr>
      <w:rPr>
        <w:rFonts w:ascii="Symbol" w:hAnsi="Symbol" w:cs="Symbol" w:hint="default"/>
        <w:color w:val="000000"/>
      </w:rPr>
    </w:lvl>
  </w:abstractNum>
  <w:abstractNum w:abstractNumId="7">
    <w:lvl w:ilvl="0">
      <w:start w:val="1"/>
      <w:numFmt w:val="bullet"/>
      <w:lvlText w:val=""/>
      <w:lvlJc w:val="start"/>
      <w:pPr>
        <w:tabs>
          <w:tab w:val="num" w:pos="786"/>
        </w:tabs>
        <w:ind w:start="786"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Arial" w:hAnsi="Arial" w:eastAsia="Times New Roman" w:cs="Arial"/>
      <w:b/>
      <w:color w:val="auto"/>
      <w:sz w:val="24"/>
      <w:szCs w:val="20"/>
      <w:lang w:val="de-DE" w:bidi="he-IL" w:eastAsia="zh-CN"/>
    </w:rPr>
  </w:style>
  <w:style w:type="paragraph" w:styleId="Heading1">
    <w:name w:val="heading 1"/>
    <w:basedOn w:val="Normal"/>
    <w:next w:val="Normal"/>
    <w:qFormat/>
    <w:pPr>
      <w:keepNext w:val="true"/>
      <w:numPr>
        <w:ilvl w:val="0"/>
        <w:numId w:val="1"/>
      </w:numPr>
      <w:tabs>
        <w:tab w:val="clear" w:pos="708"/>
        <w:tab w:val="left" w:pos="1134" w:leader="none"/>
      </w:tabs>
      <w:outlineLvl w:val="0"/>
    </w:pPr>
    <w:rPr>
      <w:sz w:val="28"/>
    </w:rPr>
  </w:style>
  <w:style w:type="paragraph" w:styleId="Heading2">
    <w:name w:val="heading 2"/>
    <w:basedOn w:val="Normal"/>
    <w:next w:val="Normal"/>
    <w:qFormat/>
    <w:pPr>
      <w:keepNext w:val="true"/>
      <w:numPr>
        <w:ilvl w:val="1"/>
        <w:numId w:val="1"/>
      </w:numPr>
      <w:tabs>
        <w:tab w:val="clear" w:pos="708"/>
        <w:tab w:val="left" w:pos="1134" w:leader="none"/>
      </w:tabs>
      <w:outlineLvl w:val="1"/>
    </w:pPr>
    <w:rPr>
      <w:sz w:val="28"/>
    </w:rPr>
  </w:style>
  <w:style w:type="paragraph" w:styleId="Heading3">
    <w:name w:val="heading 3"/>
    <w:basedOn w:val="Normal"/>
    <w:next w:val="Normal"/>
    <w:qFormat/>
    <w:pPr>
      <w:keepNext w:val="true"/>
      <w:numPr>
        <w:ilvl w:val="2"/>
        <w:numId w:val="1"/>
      </w:numPr>
      <w:tabs>
        <w:tab w:val="clear" w:pos="708"/>
        <w:tab w:val="left" w:pos="1134" w:leader="none"/>
      </w:tabs>
      <w:outlineLvl w:val="2"/>
    </w:pPr>
    <w:rPr>
      <w:sz w:val="28"/>
    </w:rPr>
  </w:style>
  <w:style w:type="paragraph" w:styleId="Heading4">
    <w:name w:val="heading 4"/>
    <w:basedOn w:val="Normal"/>
    <w:next w:val="Normal"/>
    <w:qFormat/>
    <w:pPr>
      <w:keepNext w:val="true"/>
      <w:numPr>
        <w:ilvl w:val="3"/>
        <w:numId w:val="1"/>
      </w:numPr>
      <w:spacing w:before="240" w:after="60"/>
      <w:outlineLvl w:val="3"/>
    </w:pPr>
    <w:rPr>
      <w:rFonts w:ascii="Times New Roman" w:hAnsi="Times New Roman" w:cs="Times New Roman"/>
      <w:bCs/>
      <w:sz w:val="28"/>
      <w:szCs w:val="28"/>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Times New Roman" w:hAnsi="Times New Roman" w:eastAsia="Tahoma" w:cs="Times New Roman"/>
    </w:rPr>
  </w:style>
  <w:style w:type="character" w:styleId="WW8Num4z0">
    <w:name w:val="WW8Num4z0"/>
    <w:qFormat/>
    <w:rPr>
      <w:rFonts w:ascii="Symbol" w:hAnsi="Symbol" w:cs="Symbol"/>
      <w:color w:val="00000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color w:val="000000"/>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Wingdings" w:hAnsi="Wingdings" w:cs="Wingdings"/>
    </w:rPr>
  </w:style>
  <w:style w:type="character" w:styleId="DefaultParagraphFont">
    <w:name w:val="Default Paragraph Font"/>
    <w:qFormat/>
    <w:rPr/>
  </w:style>
  <w:style w:type="paragraph" w:styleId="Style10">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jc w:val="center"/>
    </w:pPr>
    <w:rPr>
      <w:sz w:val="28"/>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1">
    <w:name w:val="Указател"/>
    <w:basedOn w:val="Normal"/>
    <w:qFormat/>
    <w:pPr>
      <w:suppressLineNumbers/>
    </w:pPr>
    <w:rPr>
      <w:rFonts w:cs="Arial"/>
    </w:rPr>
  </w:style>
  <w:style w:type="paragraph" w:styleId="Style12">
    <w:name w:val="Колонтитули"/>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BodyTextIndent2">
    <w:name w:val="Body Text Indent 2"/>
    <w:basedOn w:val="Normal"/>
    <w:qFormat/>
    <w:pPr>
      <w:jc w:val="both"/>
    </w:pPr>
    <w:rPr>
      <w:b w:val="false"/>
      <w:sz w:val="22"/>
    </w:rPr>
  </w:style>
  <w:style w:type="paragraph" w:styleId="BodyText281">
    <w:name w:val="Body Text 281"/>
    <w:basedOn w:val="Normal"/>
    <w:qFormat/>
    <w:pPr>
      <w:jc w:val="center"/>
    </w:pPr>
    <w:rPr/>
  </w:style>
  <w:style w:type="paragraph" w:styleId="Kapber11">
    <w:name w:val="Kap_Über11"/>
    <w:basedOn w:val="Normal"/>
    <w:qFormat/>
    <w:pPr/>
    <w:rPr>
      <w:sz w:val="30"/>
    </w:rPr>
  </w:style>
  <w:style w:type="paragraph" w:styleId="BodyTextIndent">
    <w:name w:val="Body Text Indent"/>
    <w:basedOn w:val="Normal"/>
    <w:pPr>
      <w:spacing w:before="0" w:after="120"/>
      <w:ind w:hanging="0" w:start="283" w:end="0"/>
    </w:pPr>
    <w:rPr/>
  </w:style>
  <w:style w:type="paragraph" w:styleId="BodyTextIndent3">
    <w:name w:val="Body Text Indent 3"/>
    <w:basedOn w:val="Normal"/>
    <w:qFormat/>
    <w:pPr>
      <w:spacing w:before="0" w:after="120"/>
      <w:ind w:hanging="0" w:start="283" w:end="0"/>
    </w:pPr>
    <w:rPr>
      <w:sz w:val="16"/>
      <w:szCs w:val="16"/>
    </w:rPr>
  </w:style>
  <w:style w:type="paragraph" w:styleId="BalloonText">
    <w:name w:val="Balloon Text"/>
    <w:basedOn w:val="Normal"/>
    <w:qFormat/>
    <w:pPr/>
    <w:rPr>
      <w:rFonts w:ascii="Tahoma" w:hAnsi="Tahoma" w:cs="Tahoma"/>
      <w:sz w:val="16"/>
      <w:szCs w:val="16"/>
    </w:rPr>
  </w:style>
  <w:style w:type="paragraph" w:styleId="-">
    <w:name w:val="Таблица - съдържание"/>
    <w:basedOn w:val="Normal"/>
    <w:qFormat/>
    <w:pPr>
      <w:widowControl w:val="false"/>
      <w:suppressLineNumbers/>
    </w:pPr>
    <w:rPr/>
  </w:style>
  <w:style w:type="paragraph" w:styleId="-1">
    <w:name w:val="Таблица - заглавие"/>
    <w:basedOn w:val="-"/>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2021-01-19T13:42:00Z</dcterms:created>
  <dc:creator>Nikolaj</dc:creator>
  <dc:description/>
  <cp:keywords/>
  <dc:language>bg-BG</dc:language>
  <cp:lastModifiedBy>Георги Георгиев</cp:lastModifiedBy>
  <cp:lastPrinted>2007-11-15T10:07:00Z</cp:lastPrinted>
  <dcterms:modified xsi:type="dcterms:W3CDTF">2026-03-23T17:49:00Z</dcterms:modified>
  <cp:revision>12</cp:revision>
  <dc:subject/>
  <dc:title/>
</cp:coreProperties>
</file>