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14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913"/>
        <w:gridCol w:w="567"/>
        <w:gridCol w:w="1063"/>
        <w:gridCol w:w="1063"/>
        <w:gridCol w:w="709"/>
        <w:gridCol w:w="851"/>
        <w:gridCol w:w="1275"/>
        <w:gridCol w:w="1701"/>
      </w:tblGrid>
      <w:tr>
        <w:trPr>
          <w:trHeight w:val="291" w:hRule="exact"/>
          <w:cantSplit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ind w:hanging="0" w:start="0"/>
              <w:rPr/>
            </w:pPr>
            <w:r>
              <w:rPr>
                <w:lang w:val="bg-BG"/>
              </w:rPr>
              <w:t>Отговорен</w:t>
            </w:r>
            <w:r>
              <w:rPr/>
              <w:t xml:space="preserve">                                                                                                    Verantwortlich</w:t>
            </w:r>
          </w:p>
        </w:tc>
        <w:tc>
          <w:tcPr>
            <w:tcW w:w="5528" w:type="dxa"/>
            <w:gridSpan w:val="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Диаграма на процесите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Документи</w:t>
            </w:r>
          </w:p>
        </w:tc>
      </w:tr>
      <w:tr>
        <w:trPr>
          <w:trHeight w:val="825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250825</wp:posOffset>
                      </wp:positionH>
                      <wp:positionV relativeFrom="paragraph">
                        <wp:posOffset>46990</wp:posOffset>
                      </wp:positionV>
                      <wp:extent cx="731520" cy="365760"/>
                      <wp:effectExtent l="9525" t="9525" r="10160" b="1016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1520" cy="365760"/>
                              </a:xfrm>
                              <a:prstGeom prst="ellipse">
                                <a:avLst/>
                              </a:prstGeom>
                              <a:noFill/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19.75pt;margin-top:3.7pt;width:57.55pt;height:28.75pt;mso-wrap-style:none;v-text-anchor:middle">
                      <v:fill o:detectmouseclick="t" on="false"/>
                      <v:stroke color="black" weight="19080" joinstyle="miter" endcap="flat"/>
                      <w10:wrap type="none"/>
                    </v:oval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7" behindDoc="0" locked="0" layoutInCell="1" allowOverlap="1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269240</wp:posOffset>
                      </wp:positionV>
                      <wp:extent cx="2540" cy="142875"/>
                      <wp:effectExtent l="36830" t="10160" r="37465" b="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" cy="1429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" h="225">
                                    <a:moveTo>
                                      <a:pt x="0" y="0"/>
                                    </a:moveTo>
                                    <a:lnTo>
                                      <a:pt x="4" y="225"/>
                                    </a:lnTo>
                                  </a:path>
                                </a:pathLst>
                              </a:custGeom>
                              <a:noFill/>
                              <a:ln w="19080">
                                <a:solidFill>
                                  <a:srgbClr val="000000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coordsize="4,225" stroked="t" o:allowincell="t" style="position:absolute;margin-left:48.15pt;margin-top:21.2pt;width:0.15pt;height:11.2pt;mso-wrap-style:none;v-text-anchor:middle" path="m0,0l4,225e">
                      <v:fill o:detectmouseclick="t" on="false"/>
                      <v:stroke color="black" weight="19080" endarrow="block" endarrowwidth="medium" endarrowlength="medium" joinstyle="round" endcap="flat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sz w:val="20"/>
                <w:lang w:val="bg-BG"/>
              </w:rPr>
              <w:t>Начало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461" w:hRule="atLeast"/>
          <w:cantSplit/>
        </w:trPr>
        <w:tc>
          <w:tcPr>
            <w:tcW w:w="1913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eu-ES"/>
              </w:rPr>
              <w:t>С</w:t>
            </w:r>
            <w:r>
              <w:rPr>
                <w:rFonts w:cs="Arial" w:ascii="Arial" w:hAnsi="Arial"/>
                <w:sz w:val="22"/>
                <w:lang w:val="bg-BG"/>
              </w:rPr>
              <w:t>ътр.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  <w:lang w:val="bg-BG"/>
              </w:rPr>
              <w:t>П1: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Изготвяне на записи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cs="Arial" w:ascii="Arial" w:hAnsi="Arial"/>
                <w:sz w:val="22"/>
                <w:lang w:val="en-US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</w:t>
            </w:r>
            <w:r>
              <w:rPr>
                <w:rFonts w:cs="Arial" w:ascii="Arial" w:hAnsi="Arial"/>
                <w:sz w:val="20"/>
              </w:rPr>
              <w:t>2-02</w:t>
            </w:r>
            <w:r>
              <w:rPr>
                <w:rFonts w:cs="Arial" w:ascii="Arial" w:hAnsi="Arial"/>
                <w:sz w:val="20"/>
                <w:lang w:val="bg-BG"/>
              </w:rPr>
              <w:t xml:space="preserve"> Матрица с отговорностите</w:t>
            </w:r>
          </w:p>
        </w:tc>
      </w:tr>
      <w:tr>
        <w:trPr>
          <w:trHeight w:val="322" w:hRule="atLeast"/>
          <w:cantSplit/>
        </w:trPr>
        <w:tc>
          <w:tcPr>
            <w:tcW w:w="191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bg-BG" w:eastAsia="bg-BG" w:bidi="ar-SA"/>
              </w:rPr>
            </w:pPr>
            <w:r>
              <w:rPr>
                <w:rFonts w:cs="Arial" w:ascii="Arial" w:hAnsi="Arial"/>
                <w:sz w:val="22"/>
                <w:lang w:val="bg-BG" w:eastAsia="bg-BG" w:bidi="ar-SA"/>
              </w:rPr>
              <mc:AlternateContent>
                <mc:Choice Requires="wps">
                  <w:drawing>
                    <wp:anchor distT="0" distB="0" distL="39370" distR="114935" simplePos="0" relativeHeight="3" behindDoc="0" locked="0" layoutInCell="1" allowOverlap="1">
                      <wp:simplePos x="0" y="0"/>
                      <wp:positionH relativeFrom="column">
                        <wp:posOffset>483235</wp:posOffset>
                      </wp:positionH>
                      <wp:positionV relativeFrom="paragraph">
                        <wp:posOffset>17145</wp:posOffset>
                      </wp:positionV>
                      <wp:extent cx="113665" cy="203200"/>
                      <wp:effectExtent l="0" t="9525" r="38100" b="635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13760" cy="2030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" h="320">
                                    <a:moveTo>
                                      <a:pt x="0" y="0"/>
                                    </a:moveTo>
                                    <a:lnTo>
                                      <a:pt x="0" y="320"/>
                                    </a:lnTo>
                                  </a:path>
                                </a:pathLst>
                              </a:custGeom>
                              <a:noFill/>
                              <a:ln w="19080">
                                <a:solidFill>
                                  <a:srgbClr val="000000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coordsize="1,320" stroked="t" o:allowincell="t" style="position:absolute;margin-left:38.05pt;margin-top:1.35pt;width:8.9pt;height:15.95pt;flip:x;mso-wrap-style:none;v-text-anchor:middle" path="m0,0l0,320e">
                      <v:fill o:detectmouseclick="t" on="false"/>
                      <v:stroke color="black" weight="19080" endarrow="block" endarrowwidth="medium" endarrowlength="medium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631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ПР ЗА СУ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  <w:lang w:val="bg-BG"/>
              </w:rPr>
              <w:t>П2: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bg-BG"/>
              </w:rPr>
              <w:t>Съхраняване на документацията според дефинираните области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Ф1-01 Преглед записи</w:t>
            </w:r>
          </w:p>
        </w:tc>
      </w:tr>
      <w:tr>
        <w:trPr>
          <w:trHeight w:val="196" w:hRule="atLeast"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 w:eastAsia="bg-BG" w:bidi="ar-SA"/>
              </w:rPr>
            </w:pPr>
            <w:r>
              <w:rPr>
                <w:rFonts w:cs="Arial" w:ascii="Arial" w:hAnsi="Arial"/>
                <w:sz w:val="22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6" behindDoc="0" locked="0" layoutInCell="1" allowOverlap="1">
                      <wp:simplePos x="0" y="0"/>
                      <wp:positionH relativeFrom="column">
                        <wp:posOffset>593725</wp:posOffset>
                      </wp:positionH>
                      <wp:positionV relativeFrom="paragraph">
                        <wp:posOffset>3810</wp:posOffset>
                      </wp:positionV>
                      <wp:extent cx="1270" cy="184150"/>
                      <wp:effectExtent l="37465" t="9525" r="38100" b="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" cy="1843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" h="290">
                                    <a:moveTo>
                                      <a:pt x="0" y="0"/>
                                    </a:moveTo>
                                    <a:lnTo>
                                      <a:pt x="2" y="290"/>
                                    </a:lnTo>
                                  </a:path>
                                </a:pathLst>
                              </a:custGeom>
                              <a:noFill/>
                              <a:ln w="19080">
                                <a:solidFill>
                                  <a:srgbClr val="000000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coordsize="2,290" stroked="t" o:allowincell="t" style="position:absolute;margin-left:46.75pt;margin-top:0.3pt;width:0.05pt;height:14.45pt;mso-wrap-style:none;v-text-anchor:middle" path="m0,0l2,290e">
                      <v:fill o:detectmouseclick="t" on="false"/>
                      <v:stroke color="black" weight="19080" endarrow="block" endarrowwidth="medium" endarrowlength="medium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</w:tr>
      <w:tr>
        <w:trPr>
          <w:trHeight w:val="557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ПР ЗА СУ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3: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  <w:lang w:val="bg-BG"/>
              </w:rPr>
              <w:t>Архивиране на документацията в съответствие с законовите и клиентски изисквания</w:t>
            </w:r>
            <w:r>
              <w:rPr>
                <w:rFonts w:cs="Arial" w:ascii="Arial" w:hAnsi="Arial"/>
                <w:sz w:val="20"/>
                <w:lang w:val="ru-RU"/>
              </w:rPr>
              <w:t xml:space="preserve"> 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</w:tr>
      <w:tr>
        <w:trPr>
          <w:trHeight w:val="300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bg-BG" w:eastAsia="bg-BG" w:bidi="ar-SA"/>
              </w:rPr>
            </w:pPr>
            <w:r>
              <w:rPr>
                <w:rFonts w:cs="Arial" w:ascii="Arial" w:hAnsi="Arial"/>
                <w:sz w:val="22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621030</wp:posOffset>
                      </wp:positionH>
                      <wp:positionV relativeFrom="paragraph">
                        <wp:posOffset>-3175</wp:posOffset>
                      </wp:positionV>
                      <wp:extent cx="635" cy="196215"/>
                      <wp:effectExtent l="38100" t="10160" r="38100" b="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" cy="1962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" h="309">
                                    <a:moveTo>
                                      <a:pt x="0" y="0"/>
                                    </a:moveTo>
                                    <a:lnTo>
                                      <a:pt x="1" y="309"/>
                                    </a:lnTo>
                                  </a:path>
                                </a:pathLst>
                              </a:custGeom>
                              <a:noFill/>
                              <a:ln w="19080">
                                <a:solidFill>
                                  <a:srgbClr val="000000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coordsize="1,309" stroked="t" o:allowincell="t" style="position:absolute;margin-left:48.9pt;margin-top:-0.25pt;width:0pt;height:15.4pt;mso-wrap-style:none;v-text-anchor:middle" path="m0,0l1,309e">
                      <v:fill o:detectmouseclick="t" on="false"/>
                      <v:stroke color="black" weight="19080" endarrow="block" endarrowwidth="medium" endarrowlength="medium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800" w:hRule="atLeast"/>
          <w:cantSplit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184150</wp:posOffset>
                      </wp:positionH>
                      <wp:positionV relativeFrom="paragraph">
                        <wp:posOffset>-1905</wp:posOffset>
                      </wp:positionV>
                      <wp:extent cx="914400" cy="365760"/>
                      <wp:effectExtent l="9525" t="9525" r="10795" b="1016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365760"/>
                              </a:xfrm>
                              <a:prstGeom prst="ellipse">
                                <a:avLst/>
                              </a:prstGeom>
                              <a:noFill/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val="de-DE" w:bidi="he-IL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bidi="he-IL" w:val="bg-BG"/>
                                    </w:rPr>
                                    <w:t>Край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14.5pt;margin-top:-0.15pt;width:71.95pt;height:28.75pt;mso-wrap-style:square;v-text-anchor:top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val="de-DE" w:bidi="he-IL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bidi="he-IL" w:val="bg-BG"/>
                              </w:rPr>
                              <w:t>Край</w:t>
                            </w:r>
                          </w:p>
                        </w:txbxContent>
                      </v:textbox>
                      <v:fill o:detectmouseclick="t" on="false"/>
                      <v:stroke color="black" weight="19080" joinstyle="miter" endcap="flat"/>
                      <w10:wrap type="none"/>
                    </v:oval>
                  </w:pict>
                </mc:Fallback>
              </mc:AlternateContent>
            </w:r>
            <w:r>
              <w:rPr>
                <w:rFonts w:cs="Arial" w:ascii="Arial" w:hAnsi="Arial"/>
                <w:sz w:val="22"/>
              </w:rPr>
              <w:t xml:space="preserve">            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20"/>
              </w:rPr>
              <w:t xml:space="preserve">                                           </w:t>
            </w:r>
          </w:p>
        </w:tc>
        <w:tc>
          <w:tcPr>
            <w:tcW w:w="2835" w:type="dxa"/>
            <w:gridSpan w:val="3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  <w:lang w:val="bg-BG"/>
        </w:rPr>
      </w:pPr>
      <w:r>
        <w:rPr>
          <w:rFonts w:cs="Arial" w:ascii="Arial" w:hAnsi="Arial"/>
          <w:sz w:val="16"/>
          <w:lang w:val="bg-BG"/>
        </w:rPr>
      </w:r>
    </w:p>
    <w:p>
      <w:pPr>
        <w:pStyle w:val="Normal"/>
        <w:rPr>
          <w:rFonts w:ascii="Arial" w:hAnsi="Arial" w:cs="Arial"/>
          <w:sz w:val="16"/>
          <w:lang w:val="bg-BG"/>
        </w:rPr>
      </w:pPr>
      <w:r>
        <w:rPr>
          <w:rFonts w:cs="Arial" w:ascii="Arial" w:hAnsi="Arial"/>
          <w:sz w:val="16"/>
          <w:lang w:val="bg-BG"/>
        </w:rPr>
      </w:r>
    </w:p>
    <w:p>
      <w:pPr>
        <w:pStyle w:val="Normal"/>
        <w:rPr>
          <w:rFonts w:ascii="Arial" w:hAnsi="Arial" w:cs="Arial"/>
          <w:sz w:val="16"/>
          <w:lang w:val="bg-BG"/>
        </w:rPr>
      </w:pPr>
      <w:r>
        <w:rPr>
          <w:rFonts w:cs="Arial" w:ascii="Arial" w:hAnsi="Arial"/>
          <w:sz w:val="16"/>
          <w:lang w:val="bg-BG"/>
        </w:rPr>
      </w:r>
    </w:p>
    <w:p>
      <w:pPr>
        <w:pStyle w:val="Normal"/>
        <w:rPr>
          <w:rFonts w:ascii="Arial" w:hAnsi="Arial" w:cs="Arial"/>
          <w:sz w:val="16"/>
          <w:lang w:val="bg-BG"/>
        </w:rPr>
      </w:pPr>
      <w:r>
        <w:rPr>
          <w:rFonts w:cs="Arial" w:ascii="Arial" w:hAnsi="Arial"/>
          <w:sz w:val="16"/>
          <w:lang w:val="bg-BG"/>
        </w:rPr>
      </w:r>
    </w:p>
    <w:p>
      <w:pPr>
        <w:pStyle w:val="Normal"/>
        <w:rPr>
          <w:rFonts w:ascii="Arial" w:hAnsi="Arial" w:cs="Arial"/>
          <w:sz w:val="16"/>
          <w:lang w:val="bg-BG"/>
        </w:rPr>
      </w:pPr>
      <w:r>
        <w:rPr>
          <w:rFonts w:cs="Arial" w:ascii="Arial" w:hAnsi="Arial"/>
          <w:sz w:val="16"/>
          <w:lang w:val="bg-BG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04"/>
        <w:gridCol w:w="8008"/>
      </w:tblGrid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Стъпка на процес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Коментар</w:t>
            </w:r>
            <w:r>
              <w:rPr>
                <w:rFonts w:cs="Arial" w:ascii="Arial" w:hAnsi="Arial"/>
                <w:b/>
              </w:rPr>
              <w:t>/</w:t>
            </w:r>
            <w:r>
              <w:rPr>
                <w:rFonts w:cs="Arial" w:ascii="Arial" w:hAnsi="Arial"/>
                <w:b/>
                <w:lang w:val="bg-BG"/>
              </w:rPr>
              <w:t>Разяснение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  <w:lang w:val="bg-BG"/>
              </w:rPr>
              <w:t>П1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Записите по качеството се правят върху въведените за целта</w:t>
            </w:r>
            <w:r>
              <w:rPr>
                <w:rFonts w:cs="Arial" w:ascii="Arial" w:hAnsi="Arial"/>
                <w:sz w:val="22"/>
                <w:lang w:val="bg-BG"/>
              </w:rPr>
              <w:t xml:space="preserve"> формуляри, съобразени с изискванията на </w:t>
            </w:r>
            <w:r>
              <w:rPr>
                <w:rFonts w:cs="Arial" w:ascii="Arial" w:hAnsi="Arial"/>
                <w:sz w:val="22"/>
              </w:rPr>
              <w:t xml:space="preserve"> </w:t>
            </w:r>
            <w:r>
              <w:rPr>
                <w:rFonts w:cs="Arial" w:ascii="Arial" w:hAnsi="Arial"/>
                <w:sz w:val="22"/>
                <w:lang w:val="bg-BG"/>
              </w:rPr>
              <w:t>СУ или в електронните системи за управление на бизнеса</w:t>
            </w:r>
            <w:r>
              <w:rPr>
                <w:rFonts w:cs="Arial" w:ascii="Arial" w:hAnsi="Arial"/>
                <w:sz w:val="22"/>
              </w:rPr>
              <w:t>.</w:t>
            </w:r>
          </w:p>
          <w:p>
            <w:pPr>
              <w:pStyle w:val="Normal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</w:rPr>
              <w:t xml:space="preserve">Означаването и идентификацията на записите по качество е съгласно реда, определен с ОП1-01 и гарантира еднозначното им съпоставяне към съответните дейности, продукти, лица, оборудване или елементи на Системата за управление на </w:t>
            </w:r>
            <w:r>
              <w:rPr>
                <w:rFonts w:cs="Arial" w:ascii="Arial" w:hAnsi="Arial"/>
                <w:sz w:val="22"/>
                <w:lang w:val="bg-BG"/>
              </w:rPr>
              <w:t>здраве и безопсност при работа</w:t>
            </w:r>
            <w:r>
              <w:rPr>
                <w:rFonts w:cs="Arial" w:ascii="Arial" w:hAnsi="Arial"/>
                <w:color w:val="FF0000"/>
                <w:sz w:val="22"/>
              </w:rPr>
              <w:t>.</w:t>
            </w:r>
          </w:p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 xml:space="preserve">Записите по качеството се попълват четливо и акуратно. </w:t>
            </w:r>
            <w:r>
              <w:rPr>
                <w:rFonts w:cs="Arial" w:ascii="Arial" w:hAnsi="Arial"/>
                <w:sz w:val="22"/>
              </w:rPr>
              <w:t>Задължителното изискване е върху всеки запис по качеството</w:t>
            </w:r>
            <w:r>
              <w:rPr>
                <w:rFonts w:cs="Arial" w:ascii="Arial" w:hAnsi="Arial"/>
                <w:sz w:val="22"/>
                <w:lang w:val="bg-BG"/>
              </w:rPr>
              <w:t>, здраве и безопсност при работа</w:t>
            </w:r>
            <w:r>
              <w:rPr>
                <w:rFonts w:cs="Arial" w:ascii="Arial" w:hAnsi="Arial"/>
                <w:sz w:val="22"/>
              </w:rPr>
              <w:t>. да има нанесени име, дата и подпис на неговия съставител.</w:t>
            </w:r>
          </w:p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>Освен специално създадените формуляри, з</w:t>
            </w:r>
            <w:r>
              <w:rPr>
                <w:rFonts w:cs="Arial" w:ascii="Arial" w:hAnsi="Arial"/>
                <w:sz w:val="22"/>
              </w:rPr>
              <w:t>аписи по качеството</w:t>
            </w:r>
            <w:r>
              <w:rPr>
                <w:rFonts w:cs="Arial" w:ascii="Arial" w:hAnsi="Arial"/>
                <w:sz w:val="22"/>
                <w:lang w:val="bg-BG"/>
              </w:rPr>
              <w:t>, здраве и безопсност при работа</w:t>
            </w:r>
            <w:r>
              <w:rPr>
                <w:rFonts w:cs="Arial" w:ascii="Arial" w:hAnsi="Arial"/>
                <w:sz w:val="22"/>
              </w:rPr>
              <w:t>. могат да бъдат приемно-предавателни протоколи, отчети от инспекции, прегледи и проверки за оценяване и квалификация, доклади от ревизии и др.</w:t>
            </w:r>
          </w:p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</w:rPr>
              <w:t xml:space="preserve">Записите по </w:t>
            </w:r>
            <w:r>
              <w:rPr>
                <w:rFonts w:cs="Arial" w:ascii="Arial" w:hAnsi="Arial"/>
                <w:sz w:val="22"/>
                <w:lang w:val="bg-BG"/>
              </w:rPr>
              <w:t>здраве и безопсност при работа</w:t>
            </w:r>
            <w:r>
              <w:rPr>
                <w:rFonts w:cs="Arial" w:ascii="Arial" w:hAnsi="Arial"/>
                <w:sz w:val="22"/>
              </w:rPr>
              <w:t>. във фирмата могат да бъдат класифицирани в пет основни групи, всяка от които има своите отличителни белези.</w:t>
            </w:r>
          </w:p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b/>
                <w:sz w:val="22"/>
              </w:rPr>
              <w:t xml:space="preserve">Записи по </w:t>
            </w:r>
            <w:r>
              <w:rPr>
                <w:rFonts w:cs="Arial" w:ascii="Arial" w:hAnsi="Arial"/>
                <w:sz w:val="22"/>
                <w:lang w:val="bg-BG"/>
              </w:rPr>
              <w:t>здраве и безопсност при работа</w:t>
            </w:r>
            <w:r>
              <w:rPr>
                <w:rFonts w:cs="Arial" w:ascii="Arial" w:hAnsi="Arial"/>
                <w:sz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lang w:val="bg-BG"/>
              </w:rPr>
              <w:t>СУ</w:t>
            </w:r>
            <w:r>
              <w:rPr>
                <w:rFonts w:cs="Arial" w:ascii="Arial" w:hAnsi="Arial"/>
                <w:b/>
                <w:sz w:val="22"/>
              </w:rPr>
              <w:t>: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sz w:val="22"/>
              </w:rPr>
              <w:t>Възникват при планиране и провеждане</w:t>
            </w:r>
            <w:r>
              <w:rPr>
                <w:rFonts w:cs="Arial" w:ascii="Arial" w:hAnsi="Arial"/>
                <w:sz w:val="22"/>
                <w:lang w:val="bg-BG"/>
              </w:rPr>
              <w:t xml:space="preserve"> на основната ни дейност,</w:t>
            </w:r>
            <w:r>
              <w:rPr>
                <w:rFonts w:cs="Arial" w:ascii="Arial" w:hAnsi="Arial"/>
                <w:sz w:val="22"/>
              </w:rPr>
              <w:t xml:space="preserve"> на одити</w:t>
            </w:r>
            <w:r>
              <w:rPr>
                <w:rFonts w:cs="Arial" w:ascii="Arial" w:hAnsi="Arial"/>
                <w:sz w:val="22"/>
                <w:lang w:val="bg-BG"/>
              </w:rPr>
              <w:t>,</w:t>
            </w:r>
            <w:r>
              <w:rPr>
                <w:rFonts w:cs="Arial" w:ascii="Arial" w:hAnsi="Arial"/>
                <w:sz w:val="22"/>
              </w:rPr>
              <w:t xml:space="preserve"> прегледи на </w:t>
            </w:r>
            <w:r>
              <w:rPr>
                <w:rFonts w:cs="Arial" w:ascii="Arial" w:hAnsi="Arial"/>
                <w:sz w:val="22"/>
                <w:lang w:val="bg-BG"/>
              </w:rPr>
              <w:t>системите</w:t>
            </w:r>
            <w:r>
              <w:rPr>
                <w:rFonts w:cs="Arial" w:ascii="Arial" w:hAnsi="Arial"/>
                <w:sz w:val="22"/>
              </w:rPr>
              <w:t xml:space="preserve"> и набелязаните коригиращи действия. Могат да са резултат</w:t>
            </w:r>
            <w:r>
              <w:rPr>
                <w:rFonts w:cs="Arial" w:ascii="Arial" w:hAnsi="Arial"/>
                <w:sz w:val="22"/>
                <w:lang w:val="bg-BG"/>
              </w:rPr>
              <w:t xml:space="preserve"> и</w:t>
            </w:r>
            <w:r>
              <w:rPr>
                <w:rFonts w:cs="Arial" w:ascii="Arial" w:hAnsi="Arial"/>
                <w:sz w:val="22"/>
              </w:rPr>
              <w:t xml:space="preserve"> </w:t>
            </w:r>
            <w:r>
              <w:rPr>
                <w:rFonts w:cs="Arial" w:ascii="Arial" w:hAnsi="Arial"/>
                <w:sz w:val="22"/>
                <w:lang w:val="bg-BG"/>
              </w:rPr>
              <w:t xml:space="preserve">от </w:t>
            </w:r>
            <w:r>
              <w:rPr>
                <w:rFonts w:cs="Arial" w:ascii="Arial" w:hAnsi="Arial"/>
                <w:sz w:val="22"/>
              </w:rPr>
              <w:t xml:space="preserve">външни одити на </w:t>
            </w:r>
            <w:r>
              <w:rPr>
                <w:rFonts w:cs="Arial" w:ascii="Arial" w:hAnsi="Arial"/>
                <w:sz w:val="22"/>
                <w:lang w:val="bg-BG"/>
              </w:rPr>
              <w:t>СУ</w:t>
            </w:r>
            <w:r>
              <w:rPr>
                <w:rFonts w:cs="Arial" w:ascii="Arial" w:hAnsi="Arial"/>
                <w:sz w:val="22"/>
              </w:rPr>
              <w:t>.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Записи относно продуктите:</w:t>
            </w:r>
          </w:p>
          <w:p>
            <w:pPr>
              <w:pStyle w:val="Normal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Всички записи, възникващи от запитването за поръчка, разработката, контрола и изпитването на продукт. Съдържат данни, които служат за документиране на качеството на продукт и представляват предпоставка за разрешаване или спиране на продукта в процеса на разработка или при крайния контрол.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Записи относно процесите:</w:t>
            </w:r>
          </w:p>
          <w:p>
            <w:pPr>
              <w:pStyle w:val="Normal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Служат за осигуряване и доказване на процесите на изработване и изпитване на продукта.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</w:rPr>
              <w:t xml:space="preserve">Записи относно </w:t>
            </w:r>
            <w:r>
              <w:rPr>
                <w:rFonts w:cs="Arial" w:ascii="Arial" w:hAnsi="Arial"/>
                <w:b/>
                <w:sz w:val="22"/>
                <w:lang w:val="bg-BG"/>
              </w:rPr>
              <w:t>Т</w:t>
            </w:r>
            <w:r>
              <w:rPr>
                <w:rFonts w:cs="Arial" w:ascii="Arial" w:hAnsi="Arial"/>
                <w:b/>
                <w:sz w:val="22"/>
              </w:rPr>
              <w:t>СИК</w:t>
            </w:r>
            <w:r>
              <w:rPr>
                <w:rFonts w:cs="Arial" w:ascii="Arial" w:hAnsi="Arial"/>
                <w:b/>
                <w:sz w:val="22"/>
                <w:lang w:val="bg-BG"/>
              </w:rPr>
              <w:t>:</w:t>
            </w:r>
          </w:p>
          <w:p>
            <w:pPr>
              <w:pStyle w:val="Normal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Възникват при управлението на ТСИК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</w:rPr>
              <w:t>Записи относно квалификацията</w:t>
            </w:r>
            <w:r>
              <w:rPr>
                <w:rFonts w:cs="Arial" w:ascii="Arial" w:hAnsi="Arial"/>
                <w:b/>
                <w:sz w:val="22"/>
                <w:lang w:val="bg-BG"/>
              </w:rPr>
              <w:t>:</w:t>
            </w:r>
          </w:p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</w:rPr>
              <w:t>Възникват при планиране и провеждане на обучение и повишаване на квалификацията на персонала. Към тях спадат и персонални сертификати, удостоверения и свидетелства, издадени от специализирани институции.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П2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</w:rPr>
              <w:t>Съхранението на записите</w:t>
            </w:r>
            <w:r>
              <w:rPr>
                <w:rFonts w:cs="Arial" w:ascii="Arial" w:hAnsi="Arial"/>
                <w:sz w:val="22"/>
                <w:lang w:val="bg-BG"/>
              </w:rPr>
              <w:t xml:space="preserve"> </w:t>
            </w:r>
            <w:r>
              <w:rPr>
                <w:rFonts w:cs="Arial" w:ascii="Arial" w:hAnsi="Arial"/>
                <w:sz w:val="22"/>
              </w:rPr>
              <w:t>е осигурено по начин, предотвратяващ нерегламентиран достъп, повреда, унищожаване или загубване.</w:t>
            </w:r>
            <w:r>
              <w:rPr>
                <w:rFonts w:cs="Arial" w:ascii="Arial" w:hAnsi="Arial"/>
                <w:sz w:val="22"/>
                <w:lang w:val="bg-BG"/>
              </w:rPr>
              <w:t xml:space="preserve"> </w:t>
            </w:r>
            <w:r>
              <w:rPr>
                <w:rFonts w:cs="Arial" w:ascii="Arial" w:hAnsi="Arial"/>
                <w:sz w:val="22"/>
              </w:rPr>
              <w:t>Начинът и мястото на съхранение на записите по качество се определя и контролира от ръководството на предприятието.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П3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Пълномощникът по </w:t>
            </w:r>
            <w:r>
              <w:rPr>
                <w:rFonts w:cs="Arial" w:ascii="Arial" w:hAnsi="Arial"/>
                <w:sz w:val="22"/>
                <w:lang w:val="bg-BG"/>
              </w:rPr>
              <w:t>здраве и безопсност при работа</w:t>
            </w:r>
            <w:r>
              <w:rPr>
                <w:rFonts w:cs="Arial" w:ascii="Arial" w:hAnsi="Arial"/>
                <w:color w:val="FF0000"/>
                <w:sz w:val="22"/>
              </w:rPr>
              <w:t>.</w:t>
            </w:r>
            <w:r>
              <w:rPr>
                <w:rFonts w:cs="Arial" w:ascii="Arial" w:hAnsi="Arial"/>
                <w:sz w:val="22"/>
                <w:szCs w:val="22"/>
              </w:rPr>
              <w:t xml:space="preserve"> съхранява остарелите версии на документите в специално създаден за целта архив, с оглед предотвратяване на възможността за неволна употреба на невалидни документи и записи. Всички електронни записи, генерирани от системите </w:t>
            </w:r>
            <w:r>
              <w:rPr>
                <w:rFonts w:cs="Arial" w:ascii="Arial" w:hAnsi="Arial"/>
                <w:sz w:val="22"/>
                <w:lang w:val="en-US"/>
              </w:rPr>
              <w:t xml:space="preserve">SugarCRM </w:t>
            </w:r>
            <w:r>
              <w:rPr>
                <w:rFonts w:cs="Arial" w:ascii="Arial" w:hAnsi="Arial"/>
                <w:sz w:val="22"/>
                <w:lang w:val="bg-BG"/>
              </w:rPr>
              <w:t xml:space="preserve">и </w:t>
            </w:r>
            <w:r>
              <w:rPr>
                <w:rFonts w:cs="Arial" w:ascii="Arial" w:hAnsi="Arial"/>
                <w:sz w:val="22"/>
                <w:lang w:val="en-US"/>
              </w:rPr>
              <w:t>Pantheon</w:t>
            </w:r>
            <w:r>
              <w:rPr>
                <w:rFonts w:cs="Arial" w:ascii="Arial" w:hAnsi="Arial"/>
                <w:sz w:val="22"/>
                <w:lang w:val="bg-BG"/>
              </w:rPr>
              <w:t xml:space="preserve"> са архивирани в съответния продукт и могат да бъдат преглеждани по всяко време от лица, имащи необходимите права на достъп. Базите данни на софтуерните програми са защитени и се архивират редовно.</w:t>
            </w:r>
          </w:p>
          <w:p>
            <w:pPr>
              <w:pStyle w:val="Normal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През целия период на съхранение Пълномощникът по </w:t>
            </w:r>
            <w:r>
              <w:rPr>
                <w:rFonts w:cs="Arial" w:ascii="Arial" w:hAnsi="Arial"/>
                <w:sz w:val="22"/>
                <w:lang w:val="bg-BG"/>
              </w:rPr>
              <w:t>здраве и безопсност при работа</w:t>
            </w:r>
            <w:r>
              <w:rPr>
                <w:rFonts w:cs="Arial" w:ascii="Arial" w:hAnsi="Arial"/>
                <w:sz w:val="22"/>
              </w:rPr>
              <w:t>.</w:t>
            </w:r>
            <w:r>
              <w:rPr>
                <w:rFonts w:cs="Arial" w:ascii="Arial" w:hAnsi="Arial"/>
                <w:sz w:val="22"/>
                <w:szCs w:val="22"/>
              </w:rPr>
              <w:t xml:space="preserve"> осигурява на заинтересованите служители достъп до записите по </w:t>
            </w:r>
            <w:r>
              <w:rPr>
                <w:rFonts w:cs="Arial" w:ascii="Arial" w:hAnsi="Arial"/>
                <w:sz w:val="22"/>
                <w:lang w:val="bg-BG"/>
              </w:rPr>
              <w:t>здраве и безопсност при работа</w:t>
            </w:r>
            <w:r>
              <w:rPr>
                <w:rFonts w:cs="Arial" w:ascii="Arial" w:hAnsi="Arial"/>
                <w:sz w:val="22"/>
              </w:rPr>
              <w:t>.</w:t>
            </w:r>
          </w:p>
          <w:p>
            <w:pPr>
              <w:pStyle w:val="Normal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Регламентираният срок за съхранение започва да тече с изтичането на календарния месец, през който е изготвен съответния запис.</w:t>
            </w:r>
          </w:p>
          <w:p>
            <w:pPr>
              <w:pStyle w:val="Normal"/>
              <w:jc w:val="both"/>
              <w:rPr>
                <w:rFonts w:ascii="Arial" w:hAnsi="Arial" w:cs="Arial"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След изтичане на регламентирания период за съхранение, съответните записи по </w:t>
            </w:r>
            <w:r>
              <w:rPr>
                <w:rFonts w:cs="Arial" w:ascii="Arial" w:hAnsi="Arial"/>
                <w:sz w:val="22"/>
                <w:lang w:val="bg-BG"/>
              </w:rPr>
              <w:t>здраве и безопсност при работа</w:t>
            </w:r>
            <w:r>
              <w:rPr>
                <w:rFonts w:cs="Arial" w:ascii="Arial" w:hAnsi="Arial"/>
                <w:sz w:val="22"/>
              </w:rPr>
              <w:t>.</w:t>
            </w:r>
            <w:r>
              <w:rPr>
                <w:rFonts w:cs="Arial" w:ascii="Arial" w:hAnsi="Arial"/>
                <w:sz w:val="22"/>
                <w:szCs w:val="22"/>
              </w:rPr>
              <w:t xml:space="preserve"> следва да бъдат унищожени от Пълномощникът по </w:t>
            </w:r>
            <w:r>
              <w:rPr>
                <w:rFonts w:cs="Arial" w:ascii="Arial" w:hAnsi="Arial"/>
                <w:sz w:val="22"/>
                <w:lang w:val="bg-BG"/>
              </w:rPr>
              <w:t>здраве и безопсност при работа</w:t>
            </w:r>
            <w:r>
              <w:rPr>
                <w:rFonts w:cs="Arial" w:ascii="Arial" w:hAnsi="Arial"/>
                <w:sz w:val="22"/>
              </w:rPr>
              <w:t>.</w:t>
            </w:r>
            <w:r>
              <w:rPr>
                <w:rFonts w:cs="Arial" w:ascii="Arial" w:hAnsi="Arial"/>
                <w:sz w:val="22"/>
                <w:szCs w:val="22"/>
              </w:rPr>
              <w:t xml:space="preserve">, като последният съставя 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>“</w:t>
            </w:r>
            <w:r>
              <w:rPr>
                <w:rFonts w:cs="Arial" w:ascii="Arial" w:hAnsi="Arial"/>
                <w:b/>
                <w:bCs/>
                <w:sz w:val="22"/>
                <w:szCs w:val="22"/>
                <w:lang w:val="bg-BG"/>
              </w:rPr>
              <w:t xml:space="preserve">Регистър на унищожените 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записи”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54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851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Изготвил: ……………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Дата: 12.01.2026 г.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Дата: 12.01.2026 г.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6420" w:leader="none"/>
        </w:tabs>
        <w:rPr/>
      </w:pPr>
      <w:r>
        <w:rPr/>
        <w:tab/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20" w:top="1417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7371" w:leader="none"/>
      </w:tabs>
      <w:rPr/>
    </w:pPr>
    <w:r>
      <w:rPr/>
      <w:t>_________________________________________________________________________________</w:t>
    </w:r>
  </w:p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130"/>
      <w:gridCol w:w="3744"/>
      <w:gridCol w:w="2338"/>
    </w:tblGrid>
    <w:tr>
      <w:trPr>
        <w:cantSplit/>
      </w:trPr>
      <w:tc>
        <w:tcPr>
          <w:tcW w:w="3130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snapToGrid w:val="false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</w:r>
        </w:p>
      </w:tc>
      <w:tc>
        <w:tcPr>
          <w:tcW w:w="3744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snapToGrid w:val="false"/>
            <w:rPr>
              <w:rStyle w:val="PageNumber"/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</w:r>
        </w:p>
      </w:tc>
      <w:tc>
        <w:tcPr>
          <w:tcW w:w="2338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Style w:val="PageNumber"/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  <w:lang w:val="bg-BG"/>
            </w:rPr>
            <w:t>Страница</w:t>
          </w:r>
          <w:r>
            <w:rPr>
              <w:rFonts w:cs="Arial" w:ascii="Arial" w:hAnsi="Arial"/>
              <w:sz w:val="20"/>
            </w:rPr>
            <w:t xml:space="preserve">  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3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</w:rPr>
            <w:t xml:space="preserve"> </w:t>
          </w:r>
          <w:r>
            <w:rPr>
              <w:rStyle w:val="PageNumber"/>
              <w:rFonts w:cs="Arial" w:ascii="Arial" w:hAnsi="Arial"/>
              <w:sz w:val="20"/>
              <w:lang w:val="bg-BG"/>
            </w:rPr>
            <w:t>от</w:t>
          </w:r>
          <w:r>
            <w:rPr>
              <w:rStyle w:val="PageNumber"/>
              <w:rFonts w:cs="Arial" w:ascii="Arial" w:hAnsi="Arial"/>
              <w:sz w:val="20"/>
            </w:rPr>
            <w:t xml:space="preserve">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3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</w:p>
      </w:tc>
    </w:tr>
    <w:tr>
      <w:trPr>
        <w:cantSplit/>
      </w:trPr>
      <w:tc>
        <w:tcPr>
          <w:tcW w:w="3130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  <w:t>Ревизия:01</w:t>
          </w:r>
        </w:p>
      </w:tc>
      <w:tc>
        <w:tcPr>
          <w:tcW w:w="3744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snapToGrid w:val="false"/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</w:r>
        </w:p>
      </w:tc>
      <w:tc>
        <w:tcPr>
          <w:tcW w:w="2338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  <w:t>Дата : 12.01.2026г.</w:t>
          </w:r>
        </w:p>
      </w:tc>
    </w:tr>
  </w:tbl>
  <w:p>
    <w:pPr>
      <w:pStyle w:val="Footer"/>
      <w:tabs>
        <w:tab w:val="clear" w:pos="4536"/>
        <w:tab w:val="center" w:pos="7371" w:leader="none"/>
      </w:tabs>
      <w:rPr>
        <w:rStyle w:val="PageNumber"/>
        <w:rFonts w:ascii="Arial" w:hAnsi="Arial" w:cs="Arial"/>
        <w:sz w:val="16"/>
        <w:lang w:val="bg-BG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230"/>
      <w:gridCol w:w="5495"/>
      <w:gridCol w:w="1485"/>
    </w:tblGrid>
    <w:tr>
      <w:trPr>
        <w:trHeight w:val="424" w:hRule="atLeast"/>
        <w:cantSplit/>
      </w:trPr>
      <w:tc>
        <w:tcPr>
          <w:tcW w:w="223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sz w:val="28"/>
              <w:lang w:val="bg-BG"/>
            </w:rPr>
          </w:pPr>
          <w:r>
            <w:rPr>
              <w:rFonts w:cs="Arial" w:ascii="Arial" w:hAnsi="Arial"/>
              <w:b/>
              <w:lang w:val="bg-BG"/>
            </w:rPr>
            <w:t>СМП ПЛЕВЕН ЕООД</w:t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1"/>
            <w:spacing w:before="0" w:after="0"/>
            <w:ind w:hanging="0" w:start="0"/>
            <w:jc w:val="center"/>
            <w:rPr>
              <w:b w:val="false"/>
            </w:rPr>
          </w:pPr>
          <w:r>
            <w:rPr>
              <w:lang w:val="bg-BG"/>
            </w:rPr>
            <w:t>Описание на процеса</w:t>
          </w:r>
        </w:p>
      </w:tc>
      <w:tc>
        <w:tcPr>
          <w:tcW w:w="148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rFonts w:cs="Arial" w:ascii="Arial" w:hAnsi="Arial"/>
              <w:lang w:val="bg-BG"/>
            </w:rPr>
            <w:t>док. ном.</w:t>
          </w:r>
          <w:r>
            <w:rPr>
              <w:rFonts w:cs="Arial" w:ascii="Arial" w:hAnsi="Arial"/>
              <w:lang w:val="it-IT"/>
            </w:rPr>
            <w:t>:</w:t>
          </w:r>
        </w:p>
        <w:p>
          <w:pPr>
            <w:pStyle w:val="Normal"/>
            <w:jc w:val="center"/>
            <w:rPr>
              <w:rFonts w:ascii="Arial" w:hAnsi="Arial" w:cs="Arial"/>
              <w:sz w:val="28"/>
            </w:rPr>
          </w:pPr>
          <w:r>
            <w:rPr>
              <w:rFonts w:cs="Arial" w:ascii="Arial" w:hAnsi="Arial"/>
              <w:lang w:val="bg-BG"/>
            </w:rPr>
            <w:t>ОП</w:t>
          </w:r>
          <w:r>
            <w:rPr>
              <w:rFonts w:cs="Arial" w:ascii="Arial" w:hAnsi="Arial"/>
            </w:rPr>
            <w:t>1-02</w:t>
          </w:r>
        </w:p>
      </w:tc>
    </w:tr>
    <w:tr>
      <w:trPr>
        <w:trHeight w:val="830" w:hRule="atLeast"/>
        <w:cantSplit/>
      </w:trPr>
      <w:tc>
        <w:tcPr>
          <w:tcW w:w="223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sz w:val="28"/>
              <w:lang w:val="bg-BG"/>
            </w:rPr>
          </w:pPr>
          <w:r>
            <w:rPr>
              <w:rFonts w:cs="Arial" w:ascii="Arial" w:hAnsi="Arial"/>
              <w:sz w:val="28"/>
              <w:lang w:val="bg-BG"/>
            </w:rPr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sz w:val="28"/>
              <w:lang w:val="ru-RU"/>
            </w:rPr>
          </w:pPr>
          <w:r>
            <w:rPr>
              <w:rFonts w:cs="Arial" w:ascii="Arial" w:hAnsi="Arial"/>
              <w:b/>
              <w:sz w:val="28"/>
              <w:lang w:val="bg-BG"/>
            </w:rPr>
            <w:t>Процеси свързани с документацията</w:t>
          </w:r>
        </w:p>
        <w:p>
          <w:pPr>
            <w:pStyle w:val="Heading5"/>
            <w:spacing w:before="0" w:after="0"/>
            <w:ind w:hanging="0" w:start="0"/>
            <w:jc w:val="center"/>
            <w:rPr>
              <w:i w:val="false"/>
              <w:sz w:val="28"/>
              <w:szCs w:val="28"/>
              <w:lang w:val="bg-BG"/>
            </w:rPr>
          </w:pPr>
          <w:r>
            <w:rPr>
              <w:rFonts w:cs="Arial" w:ascii="Arial" w:hAnsi="Arial"/>
              <w:i w:val="false"/>
              <w:sz w:val="28"/>
              <w:szCs w:val="28"/>
              <w:lang w:val="bg-BG"/>
            </w:rPr>
            <w:t>Управление на записите</w:t>
          </w:r>
        </w:p>
      </w:tc>
      <w:tc>
        <w:tcPr>
          <w:tcW w:w="148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i w:val="false"/>
              <w:sz w:val="28"/>
              <w:szCs w:val="28"/>
              <w:lang w:val="bg-BG"/>
            </w:rPr>
          </w:pPr>
          <w:r>
            <w:rPr>
              <w:rFonts w:cs="Arial" w:ascii="Arial" w:hAnsi="Arial"/>
              <w:i w:val="false"/>
              <w:sz w:val="28"/>
              <w:szCs w:val="28"/>
              <w:lang w:val="bg-BG"/>
            </w:rPr>
          </w:r>
        </w:p>
      </w:tc>
    </w:tr>
    <w:tr>
      <w:trPr>
        <w:cantSplit/>
      </w:trPr>
      <w:tc>
        <w:tcPr>
          <w:tcW w:w="9210" w:type="dxa"/>
          <w:gridSpan w:val="3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rial" w:hAnsi="Arial" w:cs="Arial"/>
              <w:sz w:val="28"/>
              <w:lang w:val="ru-RU"/>
            </w:rPr>
          </w:pPr>
          <w:r>
            <w:rPr>
              <w:rFonts w:cs="Arial" w:ascii="Arial" w:hAnsi="Arial"/>
              <w:sz w:val="28"/>
              <w:lang w:val="ru-RU"/>
            </w:rPr>
          </w:r>
        </w:p>
        <w:p>
          <w:pPr>
            <w:pStyle w:val="Normal"/>
            <w:rPr/>
          </w:pPr>
          <w:r>
            <w:rPr>
              <w:rFonts w:cs="Arial" w:ascii="Arial" w:hAnsi="Arial"/>
              <w:b/>
              <w:lang w:val="bg-BG"/>
            </w:rPr>
            <w:t>Цел</w:t>
          </w:r>
          <w:r>
            <w:rPr>
              <w:rFonts w:cs="Arial" w:ascii="Arial" w:hAnsi="Arial"/>
              <w:b/>
              <w:lang w:val="ru-RU"/>
            </w:rPr>
            <w:t>:</w:t>
          </w:r>
          <w:r>
            <w:rPr>
              <w:rFonts w:cs="Arial" w:ascii="Arial" w:hAnsi="Arial"/>
              <w:lang w:val="ru-RU"/>
            </w:rPr>
            <w:t xml:space="preserve"> </w:t>
            <w:tab/>
            <w:tab/>
          </w:r>
          <w:r>
            <w:rPr>
              <w:rFonts w:cs="Arial" w:ascii="Arial" w:hAnsi="Arial"/>
              <w:lang w:val="bg-BG"/>
            </w:rPr>
            <w:t xml:space="preserve"> Регламентира процедурата при управление на записите</w:t>
          </w:r>
          <w:r>
            <w:rPr>
              <w:rFonts w:cs="Arial" w:ascii="Arial" w:hAnsi="Arial"/>
              <w:lang w:val="ru-RU"/>
            </w:rPr>
            <w:t xml:space="preserve"> </w:t>
          </w:r>
        </w:p>
        <w:p>
          <w:pPr>
            <w:pStyle w:val="Normal"/>
            <w:rPr/>
          </w:pPr>
          <w:r>
            <w:rPr>
              <w:rFonts w:cs="Arial" w:ascii="Arial" w:hAnsi="Arial"/>
              <w:b/>
              <w:lang w:val="bg-BG"/>
            </w:rPr>
            <w:t>Област на прилагане</w:t>
          </w:r>
          <w:r>
            <w:rPr>
              <w:rFonts w:cs="Arial" w:ascii="Arial" w:hAnsi="Arial"/>
              <w:b/>
              <w:lang w:val="ru-RU"/>
            </w:rPr>
            <w:t>:</w:t>
          </w:r>
          <w:r>
            <w:rPr>
              <w:rFonts w:cs="Arial" w:ascii="Arial" w:hAnsi="Arial"/>
              <w:lang w:val="ru-RU"/>
            </w:rPr>
            <w:t xml:space="preserve"> </w:t>
            <w:tab/>
          </w:r>
          <w:r>
            <w:rPr>
              <w:rFonts w:cs="Arial" w:ascii="Arial" w:hAnsi="Arial"/>
              <w:lang w:val="bg-BG"/>
            </w:rPr>
            <w:t>Цялостната документация</w:t>
          </w:r>
          <w:r>
            <w:rPr>
              <w:rFonts w:cs="Arial" w:ascii="Arial" w:hAnsi="Arial"/>
              <w:lang w:val="ru-RU"/>
            </w:rPr>
            <w:t xml:space="preserve"> </w:t>
          </w:r>
        </w:p>
        <w:p>
          <w:pPr>
            <w:pStyle w:val="Normal"/>
            <w:rPr/>
          </w:pPr>
          <w:r>
            <w:rPr>
              <w:rFonts w:cs="Arial" w:ascii="Arial" w:hAnsi="Arial"/>
              <w:b/>
              <w:lang w:val="bg-BG"/>
            </w:rPr>
            <w:t>Собственик на процесите</w:t>
          </w:r>
          <w:r>
            <w:rPr>
              <w:rFonts w:cs="Arial" w:ascii="Arial" w:hAnsi="Arial"/>
              <w:b/>
              <w:lang w:val="ru-RU"/>
            </w:rPr>
            <w:t>:</w:t>
          </w:r>
          <w:r>
            <w:rPr>
              <w:rFonts w:cs="Arial" w:ascii="Arial" w:hAnsi="Arial"/>
              <w:lang w:val="ru-RU"/>
            </w:rPr>
            <w:t xml:space="preserve"> </w:t>
            <w:tab/>
          </w:r>
          <w:r>
            <w:rPr>
              <w:rFonts w:cs="Arial" w:ascii="Arial" w:hAnsi="Arial"/>
              <w:lang w:val="bg-BG"/>
            </w:rPr>
            <w:t>Администрацията</w:t>
          </w:r>
          <w:r>
            <w:rPr>
              <w:rFonts w:cs="Arial" w:ascii="Arial" w:hAnsi="Arial"/>
              <w:lang w:val="ru-RU"/>
            </w:rPr>
            <w:tab/>
            <w:tab/>
            <w:t xml:space="preserve"> </w:t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de-DE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11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"/>
    <w:basedOn w:val="Normal"/>
    <w:qFormat/>
    <w:pPr>
      <w:suppressLineNumbers/>
    </w:pPr>
    <w:rPr>
      <w:rFonts w:cs="Arial"/>
    </w:rPr>
  </w:style>
  <w:style w:type="paragraph" w:styleId="BodyText2">
    <w:name w:val="Body Text 2"/>
    <w:basedOn w:val="Normal"/>
    <w:qFormat/>
    <w:pPr>
      <w:jc w:val="center"/>
    </w:pPr>
    <w:rPr>
      <w:rFonts w:ascii="Arial" w:hAnsi="Arial" w:cs="Arial"/>
      <w:sz w:val="20"/>
    </w:rPr>
  </w:style>
  <w:style w:type="paragraph" w:styleId="BodyText3">
    <w:name w:val="Body Text 3"/>
    <w:basedOn w:val="Normal"/>
    <w:qFormat/>
    <w:pPr>
      <w:jc w:val="both"/>
    </w:pPr>
    <w:rPr>
      <w:rFonts w:ascii="Arial" w:hAnsi="Arial" w:cs="Arial"/>
      <w:sz w:val="22"/>
    </w:rPr>
  </w:style>
  <w:style w:type="paragraph" w:styleId="Style13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2021-01-19T14:08:00Z</dcterms:created>
  <dc:creator>Trenkov</dc:creator>
  <dc:description/>
  <cp:keywords/>
  <dc:language>bg-BG</dc:language>
  <cp:lastModifiedBy>Георги Георгиев</cp:lastModifiedBy>
  <cp:lastPrinted>2007-11-12T11:32:00Z</cp:lastPrinted>
  <dcterms:modified xsi:type="dcterms:W3CDTF">2026-03-23T19:04:00Z</dcterms:modified>
  <cp:revision>6</cp:revision>
  <dc:subject/>
  <dc:title/>
</cp:coreProperties>
</file>