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-720" w:leader="none"/>
        </w:tabs>
        <w:spacing w:before="240" w:after="60"/>
        <w:ind w:end="-850"/>
        <w:jc w:val="both"/>
        <w:outlineLvl w:val="3"/>
        <w:rPr>
          <w:rFonts w:ascii="Arial" w:hAnsi="Arial" w:cs="Arial"/>
          <w:b/>
          <w:bCs/>
          <w:szCs w:val="24"/>
          <w:lang w:val="ru-RU" w:eastAsia="bg-BG" w:bidi="ar-SA"/>
        </w:rPr>
      </w:pPr>
      <w:r>
        <w:rPr>
          <w:rFonts w:cs="Arial" w:ascii="Arial" w:hAnsi="Arial"/>
          <w:b/>
          <w:bCs/>
          <w:szCs w:val="24"/>
          <w:lang w:val="bg-BG" w:eastAsia="bg-BG" w:bidi="ar-SA"/>
        </w:rPr>
        <w:tab/>
        <w:t>1. ЦЕЛ</w:t>
      </w:r>
    </w:p>
    <w:p>
      <w:pPr>
        <w:pStyle w:val="Normal"/>
        <w:tabs>
          <w:tab w:val="left" w:pos="708" w:leader="none"/>
          <w:tab w:val="left" w:pos="1276" w:leader="none"/>
        </w:tabs>
        <w:overflowPunct w:val="false"/>
        <w:autoSpaceDE w:val="false"/>
        <w:ind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  <w:t xml:space="preserve">            </w:t>
      </w:r>
      <w:r>
        <w:rPr>
          <w:rFonts w:cs="Arial" w:ascii="Arial" w:hAnsi="Arial"/>
          <w:szCs w:val="24"/>
          <w:lang w:val="bg-BG" w:eastAsia="en-US" w:bidi="ar-SA"/>
        </w:rPr>
        <w:t xml:space="preserve">Да определи реда, правомощията и отговорностите на персонала при осъществяване процесите на: </w:t>
      </w:r>
    </w:p>
    <w:p>
      <w:pPr>
        <w:pStyle w:val="Normal"/>
        <w:tabs>
          <w:tab w:val="clear" w:pos="708"/>
          <w:tab w:val="left" w:pos="720" w:leader="none"/>
        </w:tabs>
        <w:overflowPunct w:val="false"/>
        <w:autoSpaceDE w:val="false"/>
        <w:ind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  <w:t xml:space="preserve">             </w:t>
      </w:r>
      <w:r>
        <w:rPr>
          <w:rFonts w:cs="Arial" w:ascii="Arial" w:hAnsi="Arial"/>
          <w:szCs w:val="24"/>
          <w:lang w:val="bg-BG" w:eastAsia="en-US" w:bidi="ar-SA"/>
        </w:rPr>
        <w:t>- вътрешна и външна комуникация;</w:t>
      </w:r>
    </w:p>
    <w:p>
      <w:pPr>
        <w:pStyle w:val="Normal"/>
        <w:tabs>
          <w:tab w:val="clear" w:pos="708"/>
          <w:tab w:val="left" w:pos="720" w:leader="none"/>
        </w:tabs>
        <w:ind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ab/>
        <w:t xml:space="preserve">  - консултиране по отношение на СУ за ЗБР.</w:t>
      </w:r>
    </w:p>
    <w:p>
      <w:pPr>
        <w:pStyle w:val="Normal"/>
        <w:tabs>
          <w:tab w:val="clear" w:pos="708"/>
          <w:tab w:val="left" w:pos="720" w:leader="none"/>
        </w:tabs>
        <w:ind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</w:r>
    </w:p>
    <w:p>
      <w:pPr>
        <w:pStyle w:val="Normal"/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</w:r>
    </w:p>
    <w:p>
      <w:pPr>
        <w:pStyle w:val="Normal"/>
        <w:tabs>
          <w:tab w:val="clear" w:pos="708"/>
          <w:tab w:val="left" w:pos="-720" w:leader="none"/>
        </w:tabs>
        <w:ind w:end="-850"/>
        <w:jc w:val="both"/>
        <w:rPr>
          <w:rFonts w:ascii="Arial" w:hAnsi="Arial" w:cs="Arial"/>
          <w:color w:val="000000"/>
          <w:szCs w:val="24"/>
          <w:lang w:val="bg-BG" w:eastAsia="bg-BG" w:bidi="ar-SA"/>
        </w:rPr>
      </w:pPr>
      <w:r>
        <w:rPr>
          <w:rFonts w:cs="Arial" w:ascii="Arial" w:hAnsi="Arial"/>
          <w:b/>
          <w:color w:val="000000"/>
          <w:szCs w:val="24"/>
          <w:lang w:val="ru-RU" w:eastAsia="bg-BG" w:bidi="ar-SA"/>
        </w:rPr>
        <w:tab/>
        <w:t xml:space="preserve"> 2. ОБЛАСТ НА ПРИЛОЖЕНИЕ</w:t>
      </w:r>
      <w:r>
        <w:rPr>
          <w:rFonts w:cs="Arial" w:ascii="Arial" w:hAnsi="Arial"/>
          <w:color w:val="000000"/>
          <w:szCs w:val="24"/>
          <w:lang w:val="ru-RU" w:eastAsia="bg-BG" w:bidi="ar-SA"/>
        </w:rPr>
        <w:t xml:space="preserve"> </w:t>
      </w:r>
    </w:p>
    <w:p>
      <w:pPr>
        <w:pStyle w:val="Normal"/>
        <w:tabs>
          <w:tab w:val="clear" w:pos="708"/>
          <w:tab w:val="left" w:pos="-720" w:leader="none"/>
        </w:tabs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    </w:t>
      </w:r>
      <w:r>
        <w:rPr>
          <w:rFonts w:cs="Arial" w:ascii="Arial" w:hAnsi="Arial"/>
          <w:szCs w:val="24"/>
          <w:lang w:val="bg-BG" w:eastAsia="bg-BG" w:bidi="ar-SA"/>
        </w:rPr>
        <w:t xml:space="preserve">Изискванията на процедурата са задължителни за </w:t>
      </w:r>
      <w:r>
        <w:rPr>
          <w:rFonts w:cs="Arial" w:ascii="Arial" w:hAnsi="Arial"/>
          <w:bCs/>
          <w:szCs w:val="24"/>
          <w:lang w:val="bg-BG" w:eastAsia="bg-BG" w:bidi="ar-SA"/>
        </w:rPr>
        <w:t xml:space="preserve">всички </w:t>
      </w:r>
      <w:r>
        <w:rPr>
          <w:rFonts w:cs="Arial" w:ascii="Arial" w:hAnsi="Arial"/>
          <w:szCs w:val="24"/>
          <w:lang w:val="bg-BG" w:eastAsia="bg-BG" w:bidi="ar-SA"/>
        </w:rPr>
        <w:t xml:space="preserve">структурни звена/длъжностни лица в </w:t>
      </w:r>
      <w:r>
        <w:rPr>
          <w:rFonts w:cs="Arial" w:ascii="Arial" w:hAnsi="Arial"/>
          <w:color w:val="000000"/>
          <w:szCs w:val="24"/>
          <w:lang w:val="bg-BG" w:eastAsia="bg-BG" w:bidi="ar-SA"/>
        </w:rPr>
        <w:t>СМП ПЛЕВЕН ЕООД</w:t>
      </w:r>
      <w:r>
        <w:rPr>
          <w:rFonts w:cs="Arial" w:ascii="Arial" w:hAnsi="Arial"/>
          <w:szCs w:val="24"/>
          <w:lang w:val="bg-BG" w:eastAsia="bg-BG" w:bidi="ar-SA"/>
        </w:rPr>
        <w:t>.</w:t>
      </w:r>
    </w:p>
    <w:p>
      <w:pPr>
        <w:pStyle w:val="Normal"/>
        <w:tabs>
          <w:tab w:val="clear" w:pos="708"/>
          <w:tab w:val="left" w:pos="-720" w:leader="none"/>
        </w:tabs>
        <w:ind w:end="566"/>
        <w:jc w:val="both"/>
        <w:rPr>
          <w:rFonts w:ascii="Arial" w:hAnsi="Arial" w:cs="Arial"/>
          <w:b/>
          <w:color w:val="000000"/>
          <w:szCs w:val="24"/>
          <w:lang w:val="bg-BG" w:eastAsia="bg-BG" w:bidi="ar-SA"/>
        </w:rPr>
      </w:pPr>
      <w:r>
        <w:rPr>
          <w:rFonts w:cs="Arial" w:ascii="Arial" w:hAnsi="Arial"/>
          <w:b/>
          <w:color w:val="000000"/>
          <w:szCs w:val="24"/>
          <w:lang w:val="bg-BG" w:eastAsia="bg-BG" w:bidi="ar-SA"/>
        </w:rPr>
      </w:r>
    </w:p>
    <w:p>
      <w:pPr>
        <w:pStyle w:val="Normal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ru-RU" w:eastAsia="bg-BG" w:bidi="ar-SA"/>
        </w:rPr>
        <w:t xml:space="preserve">      </w:t>
      </w:r>
    </w:p>
    <w:p>
      <w:pPr>
        <w:pStyle w:val="Normal"/>
        <w:ind w:end="-850"/>
        <w:jc w:val="both"/>
        <w:rPr>
          <w:rFonts w:ascii="Arial" w:hAnsi="Arial" w:cs="Arial"/>
          <w:b/>
          <w:szCs w:val="24"/>
          <w:lang w:val="bg-BG" w:eastAsia="bg-BG" w:bidi="ar-SA"/>
        </w:rPr>
      </w:pPr>
      <w:r>
        <w:rPr>
          <w:rFonts w:cs="Arial" w:ascii="Arial" w:hAnsi="Arial"/>
          <w:b/>
          <w:szCs w:val="24"/>
          <w:lang w:val="bg-BG" w:eastAsia="bg-BG" w:bidi="ar-SA"/>
        </w:rPr>
        <w:t xml:space="preserve">  </w:t>
      </w:r>
      <w:r>
        <w:rPr>
          <w:rFonts w:cs="Arial" w:ascii="Arial" w:hAnsi="Arial"/>
          <w:b/>
          <w:szCs w:val="24"/>
          <w:lang w:val="bg-BG" w:eastAsia="bg-BG" w:bidi="ar-SA"/>
        </w:rPr>
        <w:tab/>
        <w:t xml:space="preserve"> 3. ИЗПОЛЗВАНИ ДОКУМЕНТИ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67" w:leader="none"/>
        </w:tabs>
        <w:spacing w:lineRule="atLeast" w:line="300"/>
        <w:ind w:hanging="360" w:start="1080" w:end="-850"/>
        <w:jc w:val="both"/>
        <w:rPr>
          <w:rFonts w:ascii="Arial" w:hAnsi="Arial" w:cs="Arial"/>
          <w:color w:val="000000"/>
          <w:szCs w:val="24"/>
          <w:lang w:val="bg-BG" w:eastAsia="bg-BG" w:bidi="ar-SA"/>
        </w:rPr>
      </w:pPr>
      <w:r>
        <w:rPr>
          <w:rFonts w:cs="Arial" w:ascii="Arial" w:hAnsi="Arial"/>
          <w:color w:val="000000"/>
          <w:szCs w:val="24"/>
          <w:lang w:val="bg-BG" w:eastAsia="bg-BG" w:bidi="ar-SA"/>
        </w:rPr>
        <w:t xml:space="preserve">Правилник за вътрешния ред на СМП ПЛЕВЕН ЕООД;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67" w:leader="none"/>
        </w:tabs>
        <w:spacing w:lineRule="atLeast" w:line="300"/>
        <w:ind w:hanging="360" w:start="1080" w:end="-850"/>
        <w:jc w:val="both"/>
        <w:rPr>
          <w:rFonts w:ascii="Arial" w:hAnsi="Arial" w:cs="Arial"/>
          <w:color w:val="000000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Длъжностни характерисити;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67" w:leader="none"/>
        </w:tabs>
        <w:spacing w:lineRule="atLeast" w:line="300"/>
        <w:ind w:hanging="360" w:start="1080" w:end="-850"/>
        <w:jc w:val="both"/>
        <w:rPr>
          <w:rFonts w:ascii="Arial" w:hAnsi="Arial" w:cs="Arial"/>
          <w:color w:val="000000"/>
          <w:szCs w:val="24"/>
          <w:lang w:val="bg-BG" w:eastAsia="bg-BG" w:bidi="ar-SA"/>
        </w:rPr>
      </w:pPr>
      <w:r>
        <w:rPr>
          <w:rFonts w:cs="Arial" w:ascii="Arial" w:hAnsi="Arial"/>
          <w:color w:val="000000"/>
          <w:szCs w:val="24"/>
          <w:lang w:val="bg-BG" w:eastAsia="bg-BG" w:bidi="ar-SA"/>
        </w:rPr>
        <w:t>Процедури по качеството към СУ</w:t>
      </w:r>
      <w:r>
        <w:rPr>
          <w:rFonts w:cs="Arial" w:ascii="Arial" w:hAnsi="Arial"/>
          <w:color w:val="000000"/>
          <w:szCs w:val="24"/>
          <w:lang w:val="ru-RU" w:eastAsia="bg-BG" w:bidi="ar-SA"/>
        </w:rPr>
        <w:t xml:space="preserve"> </w:t>
      </w:r>
      <w:r>
        <w:rPr>
          <w:rFonts w:cs="Arial" w:ascii="Arial" w:hAnsi="Arial"/>
          <w:color w:val="000000"/>
          <w:szCs w:val="24"/>
          <w:lang w:val="bg-BG" w:eastAsia="bg-BG" w:bidi="ar-SA"/>
        </w:rPr>
        <w:t>на</w:t>
      </w:r>
      <w:r>
        <w:rPr>
          <w:rFonts w:cs="Arial" w:ascii="Arial" w:hAnsi="Arial"/>
          <w:color w:val="000000"/>
          <w:szCs w:val="24"/>
          <w:lang w:val="ru-RU" w:eastAsia="bg-BG" w:bidi="ar-SA"/>
        </w:rPr>
        <w:t xml:space="preserve"> СМП ПЛЕВЕН ЕООД</w:t>
      </w:r>
      <w:r>
        <w:rPr>
          <w:rFonts w:cs="Arial" w:ascii="Arial" w:hAnsi="Arial"/>
          <w:szCs w:val="24"/>
          <w:lang w:val="bg-BG" w:eastAsia="bg-BG" w:bidi="ar-SA"/>
        </w:rPr>
        <w:t>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67" w:leader="none"/>
        </w:tabs>
        <w:spacing w:lineRule="atLeast" w:line="300"/>
        <w:ind w:hanging="360" w:start="1080" w:end="-850"/>
        <w:jc w:val="both"/>
        <w:rPr>
          <w:rFonts w:ascii="Arial" w:hAnsi="Arial" w:cs="Arial"/>
          <w:color w:val="000000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Заповеди;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67" w:leader="none"/>
        </w:tabs>
        <w:spacing w:lineRule="atLeast" w:line="300"/>
        <w:ind w:hanging="360" w:start="1080" w:end="-850"/>
        <w:jc w:val="both"/>
        <w:rPr>
          <w:rFonts w:ascii="Arial" w:hAnsi="Arial" w:cs="Arial"/>
          <w:color w:val="000000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Компетентности и правомощия произтичащи от документи на инвеститора на обекта/външни документи/;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67" w:leader="none"/>
        </w:tabs>
        <w:spacing w:lineRule="atLeast" w:line="300"/>
        <w:ind w:hanging="360" w:start="108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Компетентности и правомощия произтичащи от документи на Държавни и общинсти институции.</w:t>
      </w:r>
    </w:p>
    <w:p>
      <w:pPr>
        <w:pStyle w:val="Normal"/>
        <w:tabs>
          <w:tab w:val="clear" w:pos="708"/>
          <w:tab w:val="left" w:pos="567" w:leader="none"/>
        </w:tabs>
        <w:spacing w:lineRule="atLeast" w:line="300"/>
        <w:ind w:end="-850"/>
        <w:jc w:val="both"/>
        <w:rPr>
          <w:rFonts w:ascii="Arial" w:hAnsi="Arial" w:cs="Arial"/>
          <w:color w:val="000000"/>
          <w:szCs w:val="24"/>
          <w:lang w:val="ru-RU" w:eastAsia="bg-BG" w:bidi="ar-SA"/>
        </w:rPr>
      </w:pPr>
      <w:r>
        <w:rPr>
          <w:rFonts w:cs="Arial" w:ascii="Arial" w:hAnsi="Arial"/>
          <w:color w:val="000000"/>
          <w:szCs w:val="24"/>
          <w:lang w:val="ru-RU" w:eastAsia="bg-BG" w:bidi="ar-SA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850"/>
        <w:jc w:val="both"/>
        <w:rPr>
          <w:rFonts w:ascii="Arial" w:hAnsi="Arial" w:cs="Arial"/>
          <w:b/>
          <w:color w:val="000000"/>
          <w:szCs w:val="24"/>
          <w:lang w:val="bg-BG" w:eastAsia="bg-BG" w:bidi="ar-SA"/>
        </w:rPr>
      </w:pPr>
      <w:r>
        <w:rPr>
          <w:rFonts w:cs="Arial" w:ascii="Arial" w:hAnsi="Arial"/>
          <w:b/>
          <w:color w:val="000000"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b/>
          <w:color w:val="000000"/>
          <w:szCs w:val="24"/>
          <w:lang w:val="bg-BG" w:eastAsia="bg-BG" w:bidi="ar-SA"/>
        </w:rPr>
        <w:t>4. ТЕРМИНИ И ОПРЕДЕЛЕНИЯ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850"/>
        <w:jc w:val="both"/>
        <w:rPr>
          <w:rFonts w:ascii="Arial" w:hAnsi="Arial" w:cs="Arial"/>
          <w:b/>
          <w:color w:val="000000"/>
          <w:szCs w:val="24"/>
          <w:lang w:val="bg-BG" w:eastAsia="bg-BG" w:bidi="ar-SA"/>
        </w:rPr>
      </w:pPr>
      <w:r>
        <w:rPr>
          <w:rFonts w:cs="Arial" w:ascii="Arial" w:hAnsi="Arial"/>
          <w:b/>
          <w:color w:val="000000"/>
          <w:szCs w:val="24"/>
          <w:lang w:val="bg-BG" w:eastAsia="bg-BG" w:bidi="ar-SA"/>
        </w:rPr>
        <w:tab/>
        <w:t xml:space="preserve">             Организационна структура </w:t>
      </w:r>
      <w:r>
        <w:rPr>
          <w:rFonts w:cs="Arial" w:ascii="Arial" w:hAnsi="Arial"/>
          <w:color w:val="000000"/>
          <w:szCs w:val="24"/>
          <w:lang w:val="bg-BG" w:eastAsia="bg-BG" w:bidi="ar-SA"/>
        </w:rPr>
        <w:t>- разпределение на отговорности, пълномощия и взаимовръзки между хора;</w:t>
      </w:r>
    </w:p>
    <w:p>
      <w:pPr>
        <w:pStyle w:val="Normal"/>
        <w:tabs>
          <w:tab w:val="clear" w:pos="708"/>
          <w:tab w:val="center" w:pos="4536" w:leader="none"/>
          <w:tab w:val="right" w:pos="9072" w:leader="none"/>
        </w:tabs>
        <w:ind w:end="-850"/>
        <w:jc w:val="both"/>
        <w:rPr>
          <w:rFonts w:ascii="Arial" w:hAnsi="Arial" w:cs="Arial"/>
          <w:szCs w:val="24"/>
          <w:lang w:val="ru-RU" w:eastAsia="bg-BG" w:bidi="ar-SA"/>
        </w:rPr>
      </w:pPr>
      <w:r>
        <w:rPr>
          <w:rFonts w:cs="Arial" w:ascii="Arial" w:hAnsi="Arial"/>
          <w:b/>
          <w:color w:val="000000"/>
          <w:szCs w:val="24"/>
          <w:lang w:val="bg-BG" w:eastAsia="bg-BG" w:bidi="ar-SA"/>
        </w:rPr>
        <w:t xml:space="preserve">          </w:t>
      </w:r>
      <w:r>
        <w:rPr>
          <w:rFonts w:cs="Arial" w:ascii="Arial" w:hAnsi="Arial"/>
          <w:color w:val="000000"/>
          <w:szCs w:val="24"/>
          <w:lang w:val="bg-BG" w:eastAsia="bg-BG" w:bidi="ar-SA"/>
        </w:rPr>
        <w:t xml:space="preserve">   </w:t>
      </w:r>
      <w:r>
        <w:rPr>
          <w:rFonts w:cs="Arial" w:ascii="Arial" w:hAnsi="Arial"/>
          <w:b/>
          <w:szCs w:val="24"/>
          <w:lang w:val="bg-BG" w:eastAsia="bg-BG" w:bidi="ar-SA"/>
        </w:rPr>
        <w:t>Заинтересована страна –</w:t>
      </w:r>
      <w:r>
        <w:rPr>
          <w:rFonts w:cs="Arial" w:ascii="Arial" w:hAnsi="Arial"/>
          <w:b/>
          <w:szCs w:val="24"/>
          <w:lang w:val="ru-RU" w:eastAsia="bg-BG" w:bidi="ar-SA"/>
        </w:rPr>
        <w:t xml:space="preserve"> </w:t>
      </w:r>
      <w:r>
        <w:rPr>
          <w:rFonts w:cs="Arial" w:ascii="Arial" w:hAnsi="Arial"/>
          <w:szCs w:val="24"/>
          <w:lang w:val="bg-BG" w:eastAsia="bg-BG" w:bidi="ar-SA"/>
        </w:rPr>
        <w:t>лице или група лица, които са заинтересовани от постиженията или успеха на една организаци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" w:hAnsi="Arial" w:cs="Arial"/>
          <w:b/>
          <w:color w:val="000000"/>
          <w:szCs w:val="24"/>
          <w:lang w:val="bg-BG" w:eastAsia="bg-BG" w:bidi="ar-SA"/>
        </w:rPr>
      </w:pPr>
      <w:r>
        <w:rPr>
          <w:rFonts w:cs="Arial" w:ascii="Arial" w:hAnsi="Arial"/>
          <w:b/>
          <w:color w:val="000000"/>
          <w:szCs w:val="24"/>
          <w:lang w:val="bg-BG" w:eastAsia="bg-BG" w:bidi="ar-SA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0"/>
        <w:jc w:val="both"/>
        <w:rPr/>
      </w:pPr>
      <w:r>
        <w:rPr>
          <w:rFonts w:cs="Arial" w:ascii="Arial" w:hAnsi="Arial"/>
          <w:b/>
          <w:color w:val="000000"/>
          <w:szCs w:val="24"/>
          <w:lang w:val="bg-BG" w:eastAsia="bg-BG" w:bidi="ar-SA"/>
        </w:rPr>
        <w:t xml:space="preserve">           </w:t>
      </w:r>
      <w:r>
        <w:rPr>
          <w:rFonts w:cs="Arial" w:ascii="Arial" w:hAnsi="Arial"/>
          <w:b/>
          <w:color w:val="000000"/>
          <w:szCs w:val="24"/>
          <w:lang w:val="bg-BG" w:eastAsia="bg-BG" w:bidi="ar-SA"/>
        </w:rPr>
        <w:t>5</w:t>
      </w:r>
      <w:r>
        <w:rPr>
          <w:rFonts w:cs="Arial" w:ascii="Arial" w:hAnsi="Arial"/>
          <w:b/>
          <w:color w:val="000000"/>
          <w:szCs w:val="24"/>
          <w:lang w:val="ru-RU" w:eastAsia="bg-BG" w:bidi="ar-SA"/>
        </w:rPr>
        <w:t>.</w:t>
      </w:r>
      <w:r>
        <w:rPr>
          <w:rFonts w:cs="Arial" w:ascii="Arial" w:hAnsi="Arial"/>
          <w:szCs w:val="24"/>
          <w:lang w:val="bg-BG" w:eastAsia="bg-BG" w:bidi="ar-SA"/>
        </w:rPr>
        <w:t xml:space="preserve"> </w:t>
      </w:r>
      <w:r>
        <w:rPr>
          <w:rFonts w:cs="Arial" w:ascii="Arial" w:hAnsi="Arial"/>
          <w:b/>
          <w:szCs w:val="24"/>
          <w:lang w:val="bg-BG" w:eastAsia="bg-BG" w:bidi="ar-SA"/>
        </w:rPr>
        <w:t>СЪЩНОСТ НА ПРОЦЕДУРАТА</w:t>
      </w:r>
    </w:p>
    <w:p>
      <w:pPr>
        <w:pStyle w:val="Normal"/>
        <w:keepNext w:val="true"/>
        <w:numPr>
          <w:ilvl w:val="0"/>
          <w:numId w:val="0"/>
        </w:numPr>
        <w:jc w:val="both"/>
        <w:outlineLvl w:val="1"/>
        <w:rPr/>
      </w:pPr>
      <w:r>
        <w:rPr>
          <w:rFonts w:cs="Arial" w:ascii="Arial" w:hAnsi="Arial"/>
          <w:bCs/>
          <w:iCs/>
          <w:color w:val="000000"/>
          <w:szCs w:val="24"/>
          <w:lang w:val="bg-BG" w:eastAsia="bg-BG" w:bidi="ar-SA"/>
        </w:rPr>
        <w:t xml:space="preserve">          </w:t>
      </w:r>
      <w:r>
        <w:rPr>
          <w:rFonts w:cs="Arial" w:ascii="Arial" w:hAnsi="Arial"/>
          <w:b/>
          <w:bCs/>
          <w:iCs/>
          <w:szCs w:val="24"/>
          <w:lang w:val="bg-BG" w:eastAsia="bg-BG" w:bidi="ar-SA"/>
        </w:rPr>
        <w:t xml:space="preserve"> </w:t>
      </w:r>
      <w:r>
        <w:rPr>
          <w:rFonts w:cs="Arial" w:ascii="Arial" w:hAnsi="Arial"/>
          <w:b/>
          <w:bCs/>
          <w:iCs/>
          <w:szCs w:val="24"/>
          <w:lang w:val="bg-BG" w:eastAsia="bg-BG" w:bidi="ar-SA"/>
        </w:rPr>
        <w:t>5.1 Общи положения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   </w:t>
      </w:r>
      <w:r>
        <w:rPr>
          <w:rFonts w:cs="Arial" w:ascii="Arial" w:hAnsi="Arial"/>
          <w:szCs w:val="24"/>
          <w:lang w:val="bg-BG" w:eastAsia="bg-BG" w:bidi="ar-SA"/>
        </w:rPr>
        <w:t xml:space="preserve">Основен принцип при управление процесите на комуникация в </w:t>
      </w:r>
      <w:r>
        <w:rPr>
          <w:rFonts w:cs="Arial" w:ascii="Arial" w:hAnsi="Arial"/>
          <w:szCs w:val="24"/>
          <w:lang w:val="ru-RU" w:eastAsia="bg-BG" w:bidi="ar-SA"/>
        </w:rPr>
        <w:t xml:space="preserve">СМП ПЛЕВЕН ЕООД </w:t>
      </w:r>
      <w:r>
        <w:rPr>
          <w:rFonts w:cs="Arial" w:ascii="Arial" w:hAnsi="Arial"/>
          <w:szCs w:val="24"/>
          <w:lang w:val="bg-BG" w:eastAsia="bg-BG" w:bidi="ar-SA"/>
        </w:rPr>
        <w:t>е длъжностните лица  да носят отговорности и правомощия за конкретни задачи, съобразени с тяхната компетантност.</w:t>
      </w:r>
    </w:p>
    <w:p>
      <w:pPr>
        <w:pStyle w:val="Normal"/>
        <w:ind w:end="-850"/>
        <w:jc w:val="both"/>
        <w:rPr>
          <w:rFonts w:ascii="Arial" w:hAnsi="Arial" w:cs="Arial"/>
          <w:szCs w:val="24"/>
          <w:lang w:val="ru-RU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   </w:t>
      </w:r>
      <w:r>
        <w:rPr>
          <w:rFonts w:cs="Arial" w:ascii="Arial" w:hAnsi="Arial"/>
          <w:szCs w:val="24"/>
          <w:lang w:val="bg-BG" w:eastAsia="bg-BG" w:bidi="ar-SA"/>
        </w:rPr>
        <w:t xml:space="preserve">Процесите на комуникация в </w:t>
      </w:r>
      <w:r>
        <w:rPr>
          <w:rFonts w:cs="Arial" w:ascii="Arial" w:hAnsi="Arial"/>
          <w:color w:val="000000"/>
          <w:szCs w:val="24"/>
          <w:lang w:val="bg-BG" w:eastAsia="bg-BG" w:bidi="ar-SA"/>
        </w:rPr>
        <w:t xml:space="preserve">СМП ПЛЕВЕН ЕООД </w:t>
      </w:r>
      <w:r>
        <w:rPr>
          <w:rFonts w:cs="Arial" w:ascii="Arial" w:hAnsi="Arial"/>
          <w:szCs w:val="24"/>
          <w:lang w:val="bg-BG" w:eastAsia="bg-BG" w:bidi="ar-SA"/>
        </w:rPr>
        <w:t>се разглеждат в два основни аспекта:</w:t>
      </w:r>
    </w:p>
    <w:p>
      <w:pPr>
        <w:pStyle w:val="Normal"/>
        <w:numPr>
          <w:ilvl w:val="0"/>
          <w:numId w:val="2"/>
        </w:numPr>
        <w:ind w:hanging="360" w:start="108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b/>
          <w:szCs w:val="24"/>
          <w:lang w:val="bg-BG" w:eastAsia="bg-BG" w:bidi="ar-SA"/>
        </w:rPr>
        <w:t>външна комуникация</w:t>
      </w:r>
      <w:r>
        <w:rPr>
          <w:rFonts w:cs="Arial" w:ascii="Arial" w:hAnsi="Arial"/>
          <w:szCs w:val="24"/>
          <w:lang w:val="bg-BG" w:eastAsia="bg-BG" w:bidi="ar-SA"/>
        </w:rPr>
        <w:t xml:space="preserve"> - обхваща връзките и отношенията на</w:t>
      </w:r>
      <w:r>
        <w:rPr>
          <w:rFonts w:cs="Arial" w:ascii="Arial" w:hAnsi="Arial"/>
          <w:szCs w:val="24"/>
          <w:lang w:val="ru-RU" w:eastAsia="bg-BG" w:bidi="ar-SA"/>
        </w:rPr>
        <w:t xml:space="preserve"> </w:t>
      </w:r>
      <w:r>
        <w:rPr>
          <w:rFonts w:cs="Arial" w:ascii="Arial" w:hAnsi="Arial"/>
          <w:color w:val="000000"/>
          <w:szCs w:val="24"/>
          <w:lang w:val="bg-BG" w:eastAsia="bg-BG" w:bidi="ar-SA"/>
        </w:rPr>
        <w:t xml:space="preserve">СМП ПЛЕВЕН ЕООД </w:t>
      </w:r>
      <w:r>
        <w:rPr>
          <w:rFonts w:cs="Arial" w:ascii="Arial" w:hAnsi="Arial"/>
          <w:szCs w:val="24"/>
          <w:lang w:val="bg-BG" w:eastAsia="bg-BG" w:bidi="ar-SA"/>
        </w:rPr>
        <w:t>с всички заинтересовани страни, в това число:</w:t>
      </w:r>
    </w:p>
    <w:p>
      <w:pPr>
        <w:pStyle w:val="Normal"/>
        <w:tabs>
          <w:tab w:val="clear" w:pos="708"/>
          <w:tab w:val="left" w:pos="720" w:leader="none"/>
        </w:tabs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ab/>
        <w:t xml:space="preserve">-инвеститори и клиенти; </w:t>
      </w:r>
    </w:p>
    <w:p>
      <w:pPr>
        <w:pStyle w:val="Normal"/>
        <w:tabs>
          <w:tab w:val="clear" w:pos="708"/>
          <w:tab w:val="left" w:pos="720" w:leader="none"/>
        </w:tabs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ab/>
        <w:t>-законодателни и местни органи;</w:t>
      </w:r>
    </w:p>
    <w:p>
      <w:pPr>
        <w:pStyle w:val="Normal"/>
        <w:tabs>
          <w:tab w:val="clear" w:pos="708"/>
          <w:tab w:val="left" w:pos="720" w:leader="none"/>
        </w:tabs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ab/>
        <w:t>-посетители на базата на фирмата;</w:t>
      </w:r>
    </w:p>
    <w:p>
      <w:pPr>
        <w:pStyle w:val="Normal"/>
        <w:tabs>
          <w:tab w:val="clear" w:pos="708"/>
          <w:tab w:val="left" w:pos="720" w:leader="none"/>
        </w:tabs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ab/>
        <w:t xml:space="preserve">-доставчици; </w:t>
      </w:r>
    </w:p>
    <w:p>
      <w:pPr>
        <w:pStyle w:val="Normal"/>
        <w:ind w:firstLine="708" w:end="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-държавни и общински институции;</w:t>
      </w:r>
    </w:p>
    <w:p>
      <w:pPr>
        <w:pStyle w:val="Normal"/>
        <w:ind w:firstLine="720" w:end="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-застрахователни органи;</w:t>
      </w:r>
    </w:p>
    <w:p>
      <w:pPr>
        <w:pStyle w:val="Normal"/>
        <w:ind w:firstLine="720" w:end="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>-съседи (офис,</w:t>
      </w:r>
      <w:r>
        <w:rPr>
          <w:rFonts w:cs="Arial" w:ascii="Arial" w:hAnsi="Arial"/>
          <w:szCs w:val="24"/>
          <w:lang w:val="ru-RU" w:eastAsia="bg-BG" w:bidi="ar-SA"/>
        </w:rPr>
        <w:t xml:space="preserve"> </w:t>
      </w:r>
      <w:r>
        <w:rPr>
          <w:rFonts w:cs="Arial" w:ascii="Arial" w:hAnsi="Arial"/>
          <w:szCs w:val="24"/>
          <w:lang w:val="bg-BG" w:eastAsia="bg-BG" w:bidi="ar-SA"/>
        </w:rPr>
        <w:t>търговски площи и строителни обекти);</w:t>
      </w:r>
    </w:p>
    <w:p>
      <w:pPr>
        <w:pStyle w:val="Normal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  </w:t>
      </w:r>
      <w:r>
        <w:rPr>
          <w:rFonts w:cs="Arial" w:ascii="Arial" w:hAnsi="Arial"/>
          <w:szCs w:val="24"/>
          <w:lang w:val="bg-BG" w:eastAsia="bg-BG" w:bidi="ar-SA"/>
        </w:rPr>
        <w:t>-други контролни органи, както и широката общественост.</w:t>
      </w:r>
    </w:p>
    <w:p>
      <w:pPr>
        <w:pStyle w:val="Normal"/>
        <w:numPr>
          <w:ilvl w:val="0"/>
          <w:numId w:val="4"/>
        </w:numPr>
        <w:spacing w:before="0" w:after="120"/>
        <w:ind w:hanging="360" w:start="108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b/>
          <w:szCs w:val="24"/>
          <w:lang w:val="bg-BG" w:eastAsia="bg-BG" w:bidi="ar-SA"/>
        </w:rPr>
        <w:t>вътрешна комуникация</w:t>
      </w:r>
      <w:r>
        <w:rPr>
          <w:rFonts w:cs="Arial" w:ascii="Arial" w:hAnsi="Arial"/>
          <w:szCs w:val="24"/>
          <w:lang w:val="bg-BG" w:eastAsia="bg-BG" w:bidi="ar-SA"/>
        </w:rPr>
        <w:t xml:space="preserve"> - обхваща всички вертикални и хоризонтални връзки между отделните структурни звена и длъжности в </w:t>
      </w:r>
      <w:r>
        <w:rPr>
          <w:rFonts w:cs="Arial" w:ascii="Arial" w:hAnsi="Arial"/>
          <w:color w:val="000000"/>
          <w:szCs w:val="24"/>
          <w:lang w:val="bg-BG" w:eastAsia="bg-BG" w:bidi="ar-SA"/>
        </w:rPr>
        <w:t>СМП ПЛЕВЕН ЕООД</w:t>
      </w:r>
      <w:r>
        <w:rPr>
          <w:rFonts w:cs="Arial" w:ascii="Arial" w:hAnsi="Arial"/>
          <w:szCs w:val="24"/>
          <w:lang w:val="bg-BG" w:eastAsia="bg-BG" w:bidi="ar-SA"/>
        </w:rPr>
        <w:t>, на които са предоставени съответни правомощия. За легитимни се считат само решения, взети от упълномощените със заповед на управителя за съответната дейност лица.</w:t>
      </w:r>
    </w:p>
    <w:p>
      <w:pPr>
        <w:pStyle w:val="Normal"/>
        <w:keepNext w:val="true"/>
        <w:numPr>
          <w:ilvl w:val="0"/>
          <w:numId w:val="0"/>
        </w:numPr>
        <w:spacing w:before="240" w:after="60"/>
        <w:ind w:end="-850"/>
        <w:jc w:val="both"/>
        <w:outlineLvl w:val="1"/>
        <w:rPr>
          <w:rFonts w:ascii="Arial" w:hAnsi="Arial" w:cs="Arial"/>
          <w:b/>
          <w:bCs/>
          <w:iCs/>
          <w:szCs w:val="24"/>
          <w:lang w:val="ru-RU" w:eastAsia="bg-BG" w:bidi="ar-SA"/>
        </w:rPr>
      </w:pPr>
      <w:r>
        <w:rPr>
          <w:rFonts w:cs="Arial" w:ascii="Arial" w:hAnsi="Arial"/>
          <w:b/>
          <w:bCs/>
          <w:iCs/>
          <w:szCs w:val="24"/>
          <w:lang w:val="bg-BG" w:eastAsia="bg-BG" w:bidi="ar-SA"/>
        </w:rPr>
        <w:t xml:space="preserve">         </w:t>
      </w:r>
      <w:r>
        <w:rPr>
          <w:rFonts w:cs="Arial" w:ascii="Arial" w:hAnsi="Arial"/>
          <w:b/>
          <w:bCs/>
          <w:iCs/>
          <w:szCs w:val="24"/>
          <w:lang w:val="bg-BG" w:eastAsia="bg-BG" w:bidi="ar-SA"/>
        </w:rPr>
        <w:t>5.2. Процеси на външна комуникация</w:t>
      </w:r>
    </w:p>
    <w:p>
      <w:pPr>
        <w:pStyle w:val="Normal"/>
        <w:ind w:end="-850"/>
        <w:jc w:val="both"/>
        <w:rPr>
          <w:rFonts w:ascii="Arial" w:hAnsi="Arial" w:cs="Arial"/>
          <w:szCs w:val="24"/>
          <w:lang w:val="ru-RU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 </w:t>
      </w:r>
      <w:r>
        <w:rPr>
          <w:rFonts w:cs="Arial" w:ascii="Arial" w:hAnsi="Arial"/>
          <w:szCs w:val="24"/>
          <w:lang w:val="bg-BG" w:eastAsia="bg-BG" w:bidi="ar-SA"/>
        </w:rPr>
        <w:t>5.2.1. Към процесите на външна комуникация спадат:</w:t>
      </w:r>
    </w:p>
    <w:p>
      <w:pPr>
        <w:pStyle w:val="Normal"/>
        <w:ind w:firstLine="36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</w:t>
      </w:r>
      <w:r>
        <w:rPr>
          <w:rFonts w:cs="Arial" w:ascii="Arial" w:hAnsi="Arial"/>
          <w:szCs w:val="24"/>
          <w:lang w:val="bg-BG" w:eastAsia="bg-BG" w:bidi="ar-SA"/>
        </w:rPr>
        <w:t>-обмен на информация с инвеститори и клиенти;</w:t>
      </w:r>
    </w:p>
    <w:p>
      <w:pPr>
        <w:pStyle w:val="Normal"/>
        <w:ind w:firstLine="360"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</w:t>
      </w:r>
      <w:r>
        <w:rPr>
          <w:rFonts w:cs="Arial" w:ascii="Arial" w:hAnsi="Arial"/>
          <w:szCs w:val="24"/>
          <w:lang w:val="bg-BG" w:eastAsia="bg-BG" w:bidi="ar-SA"/>
        </w:rPr>
        <w:t>-определяне и осъществяване на връзките с други заинтересованите страни - общински и държавни контролни органи, съседи, браншови организации;</w:t>
      </w:r>
    </w:p>
    <w:p>
      <w:pPr>
        <w:pStyle w:val="Normal"/>
        <w:ind w:firstLine="36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</w:t>
      </w:r>
      <w:r>
        <w:rPr>
          <w:rFonts w:cs="Arial" w:ascii="Arial" w:hAnsi="Arial"/>
          <w:szCs w:val="24"/>
          <w:lang w:val="bg-BG" w:eastAsia="bg-BG" w:bidi="ar-SA"/>
        </w:rPr>
        <w:t>-управление на рекламациите и оплакванията:</w:t>
      </w:r>
    </w:p>
    <w:p>
      <w:pPr>
        <w:pStyle w:val="Normal"/>
        <w:ind w:firstLine="72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-осъществяване на връзки с държавните институции  и застрахователни организации;</w:t>
      </w:r>
    </w:p>
    <w:p>
      <w:pPr>
        <w:pStyle w:val="Normal"/>
        <w:ind w:firstLine="360"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</w:t>
      </w:r>
      <w:r>
        <w:rPr>
          <w:rFonts w:cs="Arial" w:ascii="Arial" w:hAnsi="Arial"/>
          <w:szCs w:val="24"/>
          <w:lang w:val="bg-BG" w:eastAsia="bg-BG" w:bidi="ar-SA"/>
        </w:rPr>
        <w:t>-поддържане на актуална информация за норматинвните изисквания за околна среда;</w:t>
      </w:r>
    </w:p>
    <w:p>
      <w:pPr>
        <w:pStyle w:val="Normal"/>
        <w:ind w:firstLine="360"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</w:t>
      </w:r>
      <w:r>
        <w:rPr>
          <w:rFonts w:cs="Arial" w:ascii="Arial" w:hAnsi="Arial"/>
          <w:szCs w:val="24"/>
          <w:lang w:val="bg-BG" w:eastAsia="bg-BG" w:bidi="ar-SA"/>
        </w:rPr>
        <w:t xml:space="preserve">-информация за обществения интерес към дейността на </w:t>
      </w:r>
      <w:r>
        <w:rPr>
          <w:rFonts w:cs="Arial" w:ascii="Arial" w:hAnsi="Arial"/>
          <w:color w:val="000000"/>
          <w:szCs w:val="24"/>
          <w:lang w:val="bg-BG" w:eastAsia="bg-BG" w:bidi="ar-SA"/>
        </w:rPr>
        <w:t>СМП ПЛЕВЕН ЕООД</w:t>
      </w:r>
      <w:r>
        <w:rPr>
          <w:rFonts w:cs="Arial" w:ascii="Arial" w:hAnsi="Arial"/>
          <w:szCs w:val="24"/>
          <w:lang w:val="bg-BG" w:eastAsia="bg-BG" w:bidi="ar-SA"/>
        </w:rPr>
        <w:t>.</w:t>
      </w:r>
    </w:p>
    <w:p>
      <w:pPr>
        <w:pStyle w:val="Normal"/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   </w:t>
      </w:r>
      <w:r>
        <w:rPr>
          <w:rFonts w:cs="Arial" w:ascii="Arial" w:hAnsi="Arial"/>
          <w:szCs w:val="24"/>
          <w:lang w:val="bg-BG" w:eastAsia="bg-BG" w:bidi="ar-SA"/>
        </w:rPr>
        <w:t>5.2.3.Обмен на информация и връзки с външните страни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  </w:t>
      </w:r>
      <w:r>
        <w:rPr>
          <w:rFonts w:cs="Arial" w:ascii="Arial" w:hAnsi="Arial"/>
          <w:color w:val="000000"/>
          <w:szCs w:val="24"/>
          <w:lang w:val="bg-BG" w:eastAsia="bg-BG" w:bidi="ar-SA"/>
        </w:rPr>
        <w:t>СМП ПЛЕВЕН ЕООД</w:t>
      </w:r>
      <w:r>
        <w:rPr>
          <w:rFonts w:cs="Arial" w:ascii="Arial" w:hAnsi="Arial"/>
          <w:szCs w:val="24"/>
          <w:lang w:val="bg-BG" w:eastAsia="bg-BG" w:bidi="ar-SA"/>
        </w:rPr>
        <w:t xml:space="preserve">  осъществява  открит диалог и достъпна информация с обществеността и с други заинтересувани страни, включително с местните общности и потребителите, въздействията на техните дейности, продукти и услуги върху околната среда с оглед да се определи отношението на обществеността и на заинтересуваните страни.</w:t>
      </w:r>
    </w:p>
    <w:p>
      <w:pPr>
        <w:pStyle w:val="Normal"/>
        <w:ind w:end="-850"/>
        <w:jc w:val="both"/>
        <w:rPr>
          <w:rFonts w:ascii="Arial" w:hAnsi="Arial" w:cs="Arial"/>
          <w:color w:val="FF0000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 </w:t>
      </w:r>
      <w:r>
        <w:rPr>
          <w:rFonts w:cs="Arial" w:ascii="Arial" w:hAnsi="Arial"/>
          <w:szCs w:val="24"/>
          <w:lang w:val="bg-BG" w:eastAsia="bg-BG" w:bidi="ar-SA"/>
        </w:rPr>
        <w:t>5.2.4.При определяне на заинтересованите страни ръководството на организацията взима предвид изискванията за ЗБР по отношение: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 xml:space="preserve">             </w:t>
      </w:r>
      <w:r>
        <w:rPr>
          <w:rFonts w:cs="Arial" w:ascii="Arial" w:hAnsi="Arial"/>
          <w:szCs w:val="24"/>
          <w:lang w:val="bg-BG" w:eastAsia="en-US" w:bidi="ar-SA"/>
        </w:rPr>
        <w:t>-определените от законодателството изисквания към безопасност при изпълнение на основните дейности на фирмата;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 xml:space="preserve">            </w:t>
      </w:r>
      <w:r>
        <w:rPr>
          <w:rFonts w:cs="Arial" w:ascii="Arial" w:hAnsi="Arial"/>
          <w:szCs w:val="24"/>
          <w:lang w:val="bg-BG" w:eastAsia="en-US" w:bidi="ar-SA"/>
        </w:rPr>
        <w:t>-пропускателен режим на обектите;</w:t>
      </w:r>
    </w:p>
    <w:p>
      <w:pPr>
        <w:pStyle w:val="Normal"/>
        <w:ind w:firstLine="720"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 xml:space="preserve"> </w:t>
      </w:r>
      <w:r>
        <w:rPr>
          <w:rFonts w:cs="Arial" w:ascii="Arial" w:hAnsi="Arial"/>
          <w:szCs w:val="24"/>
          <w:lang w:val="bg-BG" w:eastAsia="en-US" w:bidi="ar-SA"/>
        </w:rPr>
        <w:t xml:space="preserve">-въздействията на дейностите на </w:t>
      </w:r>
      <w:r>
        <w:rPr>
          <w:rFonts w:cs="Arial" w:ascii="Arial" w:hAnsi="Arial"/>
          <w:color w:val="000000"/>
          <w:szCs w:val="24"/>
          <w:lang w:val="bg-BG" w:eastAsia="en-US" w:bidi="ar-SA"/>
        </w:rPr>
        <w:t xml:space="preserve">СМП ПЛЕВЕН ЕООД </w:t>
      </w:r>
      <w:r>
        <w:rPr>
          <w:rFonts w:cs="Arial" w:ascii="Arial" w:hAnsi="Arial"/>
          <w:szCs w:val="24"/>
          <w:lang w:val="bg-BG" w:eastAsia="en-US" w:bidi="ar-SA"/>
        </w:rPr>
        <w:t>върху безопасността и здравето и околната среда.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  </w:t>
      </w:r>
      <w:r>
        <w:rPr>
          <w:rFonts w:cs="Arial" w:ascii="Arial" w:hAnsi="Arial"/>
          <w:szCs w:val="24"/>
          <w:lang w:val="bg-BG" w:eastAsia="bg-BG" w:bidi="ar-SA"/>
        </w:rPr>
        <w:t xml:space="preserve">С цел осигуряване на процесите на комуникация със заинтересованите страни се изготвя Ф2-06 „Списък на представителите на заинтересованите страни”, в който се записват данни за организации и лица, които трябва да бъдат уведомявани при: </w:t>
      </w:r>
    </w:p>
    <w:p>
      <w:pPr>
        <w:pStyle w:val="Normal"/>
        <w:ind w:firstLine="36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</w:t>
      </w:r>
      <w:r>
        <w:rPr>
          <w:rFonts w:cs="Arial" w:ascii="Arial" w:hAnsi="Arial"/>
          <w:szCs w:val="24"/>
          <w:lang w:val="bg-BG" w:eastAsia="bg-BG" w:bidi="ar-SA"/>
        </w:rPr>
        <w:t xml:space="preserve">-евентуална промяна в законовите изисквания; </w:t>
      </w:r>
    </w:p>
    <w:p>
      <w:pPr>
        <w:pStyle w:val="Normal"/>
        <w:ind w:firstLine="36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</w:t>
      </w:r>
      <w:r>
        <w:rPr>
          <w:rFonts w:cs="Arial" w:ascii="Arial" w:hAnsi="Arial"/>
          <w:szCs w:val="24"/>
          <w:lang w:val="bg-BG" w:eastAsia="bg-BG" w:bidi="ar-SA"/>
        </w:rPr>
        <w:t>-възникване или установен риск от възникване на извънредни ситуации;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szCs w:val="24"/>
          <w:lang w:val="bg-BG" w:eastAsia="bg-BG" w:bidi="ar-SA"/>
        </w:rPr>
        <w:t>-всички други случаи, изискващи установяване на връзка с представители на заинтересованите страни, включително предоставяне на документи от СУ.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 </w:t>
      </w:r>
      <w:r>
        <w:rPr>
          <w:rFonts w:cs="Arial" w:ascii="Arial" w:hAnsi="Arial"/>
          <w:szCs w:val="24"/>
          <w:lang w:val="bg-BG" w:eastAsia="bg-BG" w:bidi="ar-SA"/>
        </w:rPr>
        <w:t>Обменът на информация с инвеститори, клиенти, държавни и общински институции се осъществява от лица, упълномощени от ръководството.</w:t>
      </w:r>
    </w:p>
    <w:p>
      <w:pPr>
        <w:pStyle w:val="Normal"/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   </w:t>
      </w:r>
      <w:r>
        <w:rPr>
          <w:rFonts w:cs="Arial" w:ascii="Arial" w:hAnsi="Arial"/>
          <w:szCs w:val="24"/>
          <w:lang w:val="bg-BG" w:eastAsia="bg-BG" w:bidi="ar-SA"/>
        </w:rPr>
        <w:t>5.2.5. Достъп на обществеността</w:t>
      </w:r>
    </w:p>
    <w:p>
      <w:pPr>
        <w:pStyle w:val="Normal"/>
        <w:ind w:firstLine="720"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>Външната комуникация включва предоставяне при поискване и/или запознаване на заинтересованите лица с Декларацията на ръководството по Политиката за СУ на СМП ПЛЕВЕН ЕООД</w:t>
      </w:r>
      <w:r>
        <w:rPr>
          <w:rFonts w:cs="Arial" w:ascii="Arial" w:hAnsi="Arial"/>
          <w:bCs/>
          <w:szCs w:val="24"/>
          <w:lang w:val="bg-BG" w:eastAsia="bg-BG" w:bidi="ar-SA"/>
        </w:rPr>
        <w:t xml:space="preserve">, поставена на видно място в офиса и работните площадки на фирмата. </w:t>
      </w:r>
      <w:r>
        <w:rPr>
          <w:rFonts w:cs="Arial" w:ascii="Arial" w:hAnsi="Arial"/>
          <w:szCs w:val="24"/>
          <w:lang w:val="bg-BG" w:eastAsia="bg-BG" w:bidi="ar-SA"/>
        </w:rPr>
        <w:t xml:space="preserve">СМП ПЛЕВЕН ЕООД работи само с одобрени доставчици от. </w:t>
      </w:r>
    </w:p>
    <w:p>
      <w:pPr>
        <w:pStyle w:val="Normal"/>
        <w:ind w:firstLine="720" w:end="-850"/>
        <w:jc w:val="both"/>
        <w:rPr>
          <w:rFonts w:ascii="Arial" w:hAnsi="Arial" w:cs="Arial"/>
          <w:b/>
          <w:bCs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В случай, че външна заинтересована страна (ГИТ, РИОСВ, община, клиент и пр.) поиска информация свързана с ЗБР, незабавно се уведомява Управителя за вземане на решение кой, кога и как да подготви необходимата информация, за да бъде осигурен отговора в съответен срок. Представителят на ръководството има задължението да организира подготовката  на необходими данни за информация и с прегледа на окончателният й вид. </w:t>
      </w:r>
    </w:p>
    <w:p>
      <w:pPr>
        <w:pStyle w:val="Normal"/>
        <w:spacing w:before="0" w:after="120"/>
        <w:ind w:firstLine="720" w:end="-850"/>
        <w:jc w:val="both"/>
        <w:rPr/>
      </w:pPr>
      <w:r>
        <w:rPr>
          <w:rFonts w:cs="Arial" w:ascii="Arial" w:hAnsi="Arial"/>
          <w:bCs/>
          <w:szCs w:val="24"/>
          <w:lang w:val="bg-BG" w:eastAsia="bg-BG" w:bidi="ar-SA"/>
        </w:rPr>
        <w:t>5.2.6 Контрол върху доставчици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>•</w:t>
      </w:r>
      <w:r>
        <w:rPr>
          <w:rFonts w:cs="Arial" w:ascii="Arial" w:hAnsi="Arial"/>
          <w:bCs/>
          <w:szCs w:val="24"/>
          <w:lang w:val="bg-BG" w:eastAsia="bg-BG" w:bidi="ar-SA"/>
        </w:rPr>
        <w:tab/>
        <w:t>Предварително проучване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>•</w:t>
      </w:r>
      <w:r>
        <w:rPr>
          <w:rFonts w:cs="Arial" w:ascii="Arial" w:hAnsi="Arial"/>
          <w:bCs/>
          <w:szCs w:val="24"/>
          <w:lang w:val="bg-BG" w:eastAsia="bg-BG" w:bidi="ar-SA"/>
        </w:rPr>
        <w:tab/>
        <w:t>Съставяне списъци на актуалните и потенциалните ни доставчици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>•</w:t>
      </w:r>
      <w:r>
        <w:rPr>
          <w:rFonts w:cs="Arial" w:ascii="Arial" w:hAnsi="Arial"/>
          <w:bCs/>
          <w:szCs w:val="24"/>
          <w:lang w:val="bg-BG" w:eastAsia="bg-BG" w:bidi="ar-SA"/>
        </w:rPr>
        <w:tab/>
        <w:t>Оценка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>Методика за оценка и избор на доставчиците: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>•</w:t>
      </w:r>
      <w:r>
        <w:rPr>
          <w:rFonts w:cs="Arial" w:ascii="Arial" w:hAnsi="Arial"/>
          <w:bCs/>
          <w:szCs w:val="24"/>
          <w:lang w:val="bg-BG" w:eastAsia="bg-BG" w:bidi="ar-SA"/>
        </w:rPr>
        <w:tab/>
        <w:t>Оценката на доставчиците се извършва в края на годината, по преценка на ръководството или при нужда от закупуване на нов вид продукти и материали, които не биха могли да бъдат доставени от вече оценените доставчици.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>•</w:t>
      </w:r>
      <w:r>
        <w:rPr>
          <w:rFonts w:cs="Arial" w:ascii="Arial" w:hAnsi="Arial"/>
          <w:bCs/>
          <w:szCs w:val="24"/>
          <w:lang w:val="bg-BG" w:eastAsia="bg-BG" w:bidi="ar-SA"/>
        </w:rPr>
        <w:tab/>
        <w:t xml:space="preserve">Преценява се дали доставчиците отговарят на всички изисквания, също така дали документите по доставката съдържат всички необходими данни на доставяните стоки и услуги.  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>•</w:t>
      </w:r>
      <w:r>
        <w:rPr>
          <w:rFonts w:cs="Arial" w:ascii="Arial" w:hAnsi="Arial"/>
          <w:bCs/>
          <w:szCs w:val="24"/>
          <w:lang w:val="bg-BG" w:eastAsia="bg-BG" w:bidi="ar-SA"/>
        </w:rPr>
        <w:tab/>
        <w:t xml:space="preserve">Оценката и изборът на доставчици се осъществява и отразява съгласно следната система: 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 xml:space="preserve">   </w:t>
      </w:r>
      <w:r>
        <w:rPr>
          <w:rFonts w:cs="Arial" w:ascii="Arial" w:hAnsi="Arial"/>
          <w:bCs/>
          <w:szCs w:val="24"/>
          <w:lang w:val="bg-BG" w:eastAsia="bg-BG" w:bidi="ar-SA"/>
        </w:rPr>
        <w:t>1. Всеки доставчик получава от 0 до 4 точки за всеки един от критериите за оценка – „цена”, „начин на плащане”, „срок и начин на доставка”, „качество”, „екосъобразност“ в зависимост от впечатленията на ръководството за извършените от него досега доставки.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 xml:space="preserve">   </w:t>
      </w:r>
      <w:r>
        <w:rPr>
          <w:rFonts w:cs="Arial" w:ascii="Arial" w:hAnsi="Arial"/>
          <w:bCs/>
          <w:szCs w:val="24"/>
          <w:lang w:val="bg-BG" w:eastAsia="bg-BG" w:bidi="ar-SA"/>
        </w:rPr>
        <w:t xml:space="preserve">2. Оценката на всеки един от петте критерия се сумира и при постигане на общ сбор от минимум 10 точки, доставчикът попада в списъка на основните доставчици. Ако доставчикът не събере нужния минимум попада в списъка на потенциалните доставчици. 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  <w:t xml:space="preserve">   </w:t>
      </w:r>
      <w:r>
        <w:rPr>
          <w:rFonts w:cs="Arial" w:ascii="Arial" w:hAnsi="Arial"/>
          <w:bCs/>
          <w:szCs w:val="24"/>
          <w:lang w:val="bg-BG" w:eastAsia="bg-BG" w:bidi="ar-SA"/>
        </w:rPr>
        <w:t>3. За улеснение на сътрудниците, оценката и списъкът на основните и потенциални доставчици са обобщени в един.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bCs/>
          <w:szCs w:val="24"/>
          <w:lang w:val="bg-BG" w:eastAsia="bg-BG" w:bidi="ar-SA"/>
        </w:rPr>
      </w:pPr>
      <w:r>
        <w:rPr>
          <w:rFonts w:cs="Arial" w:ascii="Arial" w:hAnsi="Arial"/>
          <w:bCs/>
          <w:szCs w:val="24"/>
          <w:lang w:val="bg-BG" w:eastAsia="bg-BG" w:bidi="ar-SA"/>
        </w:rPr>
      </w:r>
    </w:p>
    <w:p>
      <w:pPr>
        <w:pStyle w:val="Normal"/>
        <w:keepNext w:val="true"/>
        <w:numPr>
          <w:ilvl w:val="0"/>
          <w:numId w:val="0"/>
        </w:numPr>
        <w:jc w:val="both"/>
        <w:outlineLvl w:val="1"/>
        <w:rPr>
          <w:rFonts w:ascii="Arial" w:hAnsi="Arial" w:cs="Arial"/>
          <w:b/>
          <w:bCs/>
          <w:i/>
          <w:iCs/>
          <w:szCs w:val="24"/>
          <w:lang w:val="bg-BG" w:eastAsia="bg-BG" w:bidi="ar-SA"/>
        </w:rPr>
      </w:pPr>
      <w:r>
        <w:rPr>
          <w:rFonts w:cs="Arial" w:ascii="Arial" w:hAnsi="Arial"/>
          <w:b/>
          <w:bCs/>
          <w:i/>
          <w:iCs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b/>
          <w:bCs/>
          <w:i/>
          <w:iCs/>
          <w:szCs w:val="24"/>
          <w:lang w:val="bg-BG" w:eastAsia="bg-BG" w:bidi="ar-SA"/>
        </w:rPr>
        <w:t>5.3 Процеси на вътрешна комуникация</w:t>
      </w:r>
    </w:p>
    <w:p>
      <w:pPr>
        <w:pStyle w:val="Normal"/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szCs w:val="24"/>
          <w:lang w:val="bg-BG" w:eastAsia="bg-BG" w:bidi="ar-SA"/>
        </w:rPr>
        <w:t>Процесите на вътрешна комуникация включват:</w:t>
      </w:r>
    </w:p>
    <w:p>
      <w:pPr>
        <w:pStyle w:val="Normal"/>
        <w:tabs>
          <w:tab w:val="clear" w:pos="708"/>
          <w:tab w:val="left" w:pos="900" w:leader="none"/>
        </w:tabs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 </w:t>
      </w:r>
      <w:r>
        <w:rPr>
          <w:rFonts w:cs="Arial" w:ascii="Arial" w:hAnsi="Arial"/>
          <w:szCs w:val="24"/>
          <w:lang w:val="bg-BG" w:eastAsia="bg-BG" w:bidi="ar-SA"/>
        </w:rPr>
        <w:t>-запознаване, разбиране и прилагане на декларираната Политика на ръководството на всички нива в организацията;</w:t>
      </w:r>
    </w:p>
    <w:p>
      <w:pPr>
        <w:pStyle w:val="Normal"/>
        <w:tabs>
          <w:tab w:val="clear" w:pos="708"/>
          <w:tab w:val="left" w:pos="900" w:leader="none"/>
        </w:tabs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szCs w:val="24"/>
          <w:lang w:val="bg-BG" w:eastAsia="bg-BG" w:bidi="ar-SA"/>
        </w:rPr>
        <w:t>-запознаване с оценката на риска за съответното работно място;</w:t>
      </w:r>
    </w:p>
    <w:p>
      <w:pPr>
        <w:pStyle w:val="Normal"/>
        <w:tabs>
          <w:tab w:val="clear" w:pos="708"/>
          <w:tab w:val="left" w:pos="900" w:leader="none"/>
        </w:tabs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 </w:t>
      </w:r>
      <w:r>
        <w:rPr>
          <w:rFonts w:cs="Arial" w:ascii="Arial" w:hAnsi="Arial"/>
          <w:szCs w:val="24"/>
          <w:lang w:val="bg-BG" w:eastAsia="bg-BG" w:bidi="ar-SA"/>
        </w:rPr>
        <w:t>-разпространение и разясняване на изискванията на заинтересованите/трети/ страни, с цел тяхното разбиране и осъзнаване от всички длъжностни лица;</w:t>
      </w:r>
    </w:p>
    <w:p>
      <w:pPr>
        <w:pStyle w:val="Normal"/>
        <w:tabs>
          <w:tab w:val="clear" w:pos="708"/>
          <w:tab w:val="left" w:pos="900" w:leader="none"/>
        </w:tabs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 </w:t>
      </w:r>
      <w:r>
        <w:rPr>
          <w:rFonts w:cs="Arial" w:ascii="Arial" w:hAnsi="Arial"/>
          <w:szCs w:val="24"/>
          <w:lang w:val="bg-BG" w:eastAsia="bg-BG" w:bidi="ar-SA"/>
        </w:rPr>
        <w:t>-участие в определянето на аспектите и тяхната оценка в Работната група по ЗБР и околна среда;</w:t>
      </w:r>
    </w:p>
    <w:p>
      <w:pPr>
        <w:pStyle w:val="Normal"/>
        <w:tabs>
          <w:tab w:val="clear" w:pos="708"/>
          <w:tab w:val="left" w:pos="900" w:leader="none"/>
        </w:tabs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szCs w:val="24"/>
          <w:lang w:val="bg-BG" w:eastAsia="bg-BG" w:bidi="ar-SA"/>
        </w:rPr>
        <w:t>-обмен на информация между различните нива на организацията относно</w:t>
      </w:r>
    </w:p>
    <w:p>
      <w:pPr>
        <w:pStyle w:val="Normal"/>
        <w:tabs>
          <w:tab w:val="clear" w:pos="708"/>
          <w:tab w:val="left" w:pos="900" w:leader="none"/>
        </w:tabs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изпълнение на дейностите;</w:t>
      </w:r>
    </w:p>
    <w:p>
      <w:pPr>
        <w:pStyle w:val="Normal"/>
        <w:tabs>
          <w:tab w:val="clear" w:pos="708"/>
          <w:tab w:val="left" w:pos="540" w:leader="none"/>
        </w:tabs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szCs w:val="24"/>
          <w:lang w:val="bg-BG" w:eastAsia="bg-BG" w:bidi="ar-SA"/>
        </w:rPr>
        <w:t>-подготовка и утвърждаване на програми по околна среда и програми за управление на рисковете;</w:t>
      </w:r>
    </w:p>
    <w:p>
      <w:pPr>
        <w:pStyle w:val="Normal"/>
        <w:tabs>
          <w:tab w:val="clear" w:pos="708"/>
          <w:tab w:val="left" w:pos="900" w:leader="none"/>
        </w:tabs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szCs w:val="24"/>
          <w:lang w:val="bg-BG" w:eastAsia="bg-BG" w:bidi="ar-SA"/>
        </w:rPr>
        <w:t>-изпълнение на изискванията на документацията на СУ;</w:t>
      </w:r>
    </w:p>
    <w:p>
      <w:pPr>
        <w:pStyle w:val="Normal"/>
        <w:tabs>
          <w:tab w:val="clear" w:pos="708"/>
          <w:tab w:val="left" w:pos="900" w:leader="none"/>
        </w:tabs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szCs w:val="24"/>
          <w:lang w:val="bg-BG" w:eastAsia="bg-BG" w:bidi="ar-SA"/>
        </w:rPr>
        <w:t>-оценяване на резултатността.</w:t>
      </w:r>
    </w:p>
    <w:p>
      <w:pPr>
        <w:pStyle w:val="Normal"/>
        <w:spacing w:before="0" w:after="120"/>
        <w:ind w:firstLine="72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Комуникацията между ръководството и изпълнителите относно Политиката за СУ, Правилникът за вътрешния ред, пропусквателния режим в обектите и Правила за безопасна работа се осъществява чрез провеждане на обучения и поставяне на  информационни табла  на подходящо място. Телефонът за връзка с ПР за СУ е огласено на информационни табла на работните площадки на фирмата.</w:t>
      </w:r>
    </w:p>
    <w:p>
      <w:pPr>
        <w:pStyle w:val="Normal"/>
        <w:spacing w:before="0" w:after="120"/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</w:t>
      </w:r>
      <w:r>
        <w:rPr>
          <w:rFonts w:cs="Arial" w:ascii="Arial" w:hAnsi="Arial"/>
          <w:szCs w:val="24"/>
          <w:lang w:val="bg-BG" w:eastAsia="bg-BG" w:bidi="ar-SA"/>
        </w:rPr>
        <w:tab/>
        <w:t xml:space="preserve">Редът за осъществяване на вътрешна комуникация е регламентиран при описанието на отделните процеси в документацията. </w:t>
      </w:r>
      <w:r>
        <w:rPr>
          <w:rFonts w:cs="Arial" w:ascii="Arial" w:hAnsi="Arial"/>
          <w:spacing w:val="-2"/>
          <w:szCs w:val="24"/>
          <w:lang w:val="bg-BG" w:eastAsia="bg-BG" w:bidi="ar-SA"/>
        </w:rPr>
        <w:t xml:space="preserve">Разисквания и анализи се правят  на регулярните  оперативки, вътрешни одити  и годишните Прегледи от Ръководството. </w:t>
      </w:r>
      <w:r>
        <w:rPr>
          <w:rFonts w:cs="Arial" w:ascii="Arial" w:hAnsi="Arial"/>
          <w:szCs w:val="24"/>
          <w:lang w:val="bg-BG" w:eastAsia="bg-BG" w:bidi="ar-SA"/>
        </w:rPr>
        <w:t xml:space="preserve">В документираните процедури, инструкции  и планове за действие е записан регламент за задължителната комуникация и обмен на информация. </w:t>
      </w:r>
    </w:p>
    <w:p>
      <w:pPr>
        <w:pStyle w:val="Normal"/>
        <w:spacing w:before="0" w:after="120"/>
        <w:ind w:firstLine="720"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>При забелязани несъответствия или  потенциал за въздействия върху ЗБР или околната среда, работещите уведомяват Представителя на Ръководството или ръководителите на съответните структурни звена.</w:t>
      </w:r>
    </w:p>
    <w:p>
      <w:pPr>
        <w:pStyle w:val="Normal"/>
        <w:spacing w:before="0" w:after="120"/>
        <w:ind w:firstLine="720"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>При инциденти, свързани със значими въздействия върху ЗБР и околната среда, служителят незабавно уведомява Представителя на Ръководството или Управителя. Всички възникнали проблеми  се  документират в Ф5-03 „Доклад за несъответствие“.</w:t>
      </w:r>
      <w:r>
        <w:rPr>
          <w:rFonts w:cs="Arial" w:ascii="Arial" w:hAnsi="Arial"/>
          <w:szCs w:val="24"/>
          <w:lang w:val="ru-RU" w:eastAsia="bg-BG" w:bidi="ar-SA"/>
        </w:rPr>
        <w:t xml:space="preserve"> </w:t>
      </w:r>
      <w:r>
        <w:rPr>
          <w:rFonts w:cs="Arial" w:ascii="Arial" w:hAnsi="Arial"/>
          <w:szCs w:val="24"/>
          <w:lang w:val="bg-BG" w:eastAsia="bg-BG" w:bidi="ar-SA"/>
        </w:rPr>
        <w:t xml:space="preserve"> </w:t>
      </w:r>
    </w:p>
    <w:p>
      <w:pPr>
        <w:pStyle w:val="Normal"/>
        <w:ind w:firstLine="360" w:end="-850"/>
        <w:jc w:val="both"/>
        <w:rPr/>
      </w:pPr>
      <w:r>
        <w:rPr>
          <w:rFonts w:cs="Arial" w:ascii="Arial" w:hAnsi="Arial"/>
          <w:b/>
          <w:szCs w:val="24"/>
          <w:lang w:val="bg-BG" w:eastAsia="bg-BG" w:bidi="ar-SA"/>
        </w:rPr>
        <w:t xml:space="preserve">      </w:t>
      </w:r>
      <w:r>
        <w:rPr>
          <w:rFonts w:cs="Arial" w:ascii="Arial" w:hAnsi="Arial"/>
          <w:szCs w:val="24"/>
          <w:lang w:val="bg-BG" w:eastAsia="bg-BG" w:bidi="ar-SA"/>
        </w:rPr>
        <w:t>Във фирмата се поддържат и други пътища за навременна комуникация и обмен на информация:</w:t>
      </w:r>
    </w:p>
    <w:p>
      <w:pPr>
        <w:pStyle w:val="Normal"/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       </w:t>
      </w:r>
      <w:r>
        <w:rPr>
          <w:rFonts w:cs="Arial" w:ascii="Arial" w:hAnsi="Arial"/>
          <w:szCs w:val="24"/>
          <w:lang w:val="bg-BG" w:eastAsia="bg-BG" w:bidi="ar-SA"/>
        </w:rPr>
        <w:t>- Периодичните оперативки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     </w:t>
      </w:r>
      <w:r>
        <w:rPr>
          <w:rFonts w:cs="Arial" w:ascii="Arial" w:hAnsi="Arial"/>
          <w:szCs w:val="24"/>
          <w:lang w:val="bg-BG" w:eastAsia="bg-BG" w:bidi="ar-SA"/>
        </w:rPr>
        <w:t>- Заседанията на Работната група по ЗБР и околна среда.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93" w:leader="none"/>
        </w:tabs>
        <w:ind w:hanging="0" w:start="0"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 xml:space="preserve">           </w:t>
      </w:r>
      <w:r>
        <w:rPr>
          <w:rFonts w:cs="Arial" w:ascii="Arial" w:hAnsi="Arial"/>
          <w:szCs w:val="24"/>
          <w:lang w:val="bg-BG" w:eastAsia="en-US" w:bidi="ar-SA"/>
        </w:rPr>
        <w:t>Анализ на информацията за резултатите от оперативния контрол по ЗБР и околна среда се прави периодично на заседанията на Работната група по ЗБР и  околна среда.</w:t>
      </w:r>
    </w:p>
    <w:p>
      <w:pPr>
        <w:pStyle w:val="Normal"/>
        <w:ind w:end="-850"/>
        <w:jc w:val="both"/>
        <w:rPr>
          <w:rFonts w:ascii="Arial" w:hAnsi="Arial" w:cs="Arial"/>
          <w:spacing w:val="-2"/>
          <w:szCs w:val="24"/>
          <w:lang w:val="bg-BG" w:eastAsia="bg-BG" w:bidi="ar-SA"/>
        </w:rPr>
      </w:pPr>
      <w:r>
        <w:rPr>
          <w:rFonts w:cs="Arial" w:ascii="Arial" w:hAnsi="Arial"/>
          <w:spacing w:val="-2"/>
          <w:szCs w:val="24"/>
          <w:lang w:val="bg-BG" w:eastAsia="bg-BG" w:bidi="ar-SA"/>
        </w:rPr>
        <w:t xml:space="preserve">           </w:t>
      </w:r>
      <w:r>
        <w:rPr>
          <w:rFonts w:cs="Arial" w:ascii="Arial" w:hAnsi="Arial"/>
          <w:spacing w:val="-2"/>
          <w:szCs w:val="24"/>
          <w:lang w:val="bg-BG" w:eastAsia="bg-BG" w:bidi="ar-SA"/>
        </w:rPr>
        <w:t>Актуалната версия на нормативните документи се осигурява съгласно ОП1-01 „Управление на документите”.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pacing w:val="-2"/>
          <w:szCs w:val="24"/>
          <w:lang w:val="bg-BG" w:eastAsia="bg-BG" w:bidi="ar-SA"/>
        </w:rPr>
        <w:t xml:space="preserve">          </w:t>
      </w:r>
      <w:r>
        <w:rPr>
          <w:rFonts w:cs="Arial" w:ascii="Arial" w:hAnsi="Arial"/>
          <w:spacing w:val="-2"/>
          <w:szCs w:val="24"/>
          <w:lang w:val="bg-BG" w:eastAsia="bg-BG" w:bidi="ar-SA"/>
        </w:rPr>
        <w:t xml:space="preserve">Представителят на ръководството </w:t>
      </w:r>
      <w:r>
        <w:rPr>
          <w:rFonts w:cs="Arial" w:ascii="Arial" w:hAnsi="Arial"/>
          <w:szCs w:val="24"/>
          <w:lang w:val="bg-BG" w:eastAsia="bg-BG" w:bidi="ar-SA"/>
        </w:rPr>
        <w:t>организира провеждането на периодични анкети на целия персонал чрез Ф2-07 „Анкетна карта сътрудници”. Тези анкети предоставят на Ръководството актуална информация и препоръки по качеството и околна среда по отношение на:</w:t>
      </w:r>
    </w:p>
    <w:p>
      <w:pPr>
        <w:pStyle w:val="Normal"/>
        <w:ind w:start="540"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  <w:t>-съществуващи неидентифицирани опасности;</w:t>
      </w:r>
    </w:p>
    <w:p>
      <w:pPr>
        <w:pStyle w:val="Normal"/>
        <w:ind w:start="540"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  <w:t>-инциденти, които не са регистрирани и обсъждани;</w:t>
      </w:r>
    </w:p>
    <w:p>
      <w:pPr>
        <w:pStyle w:val="Normal"/>
        <w:ind w:start="540"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  <w:t>-неидентифицирани замърсявания на околната среда;</w:t>
      </w:r>
    </w:p>
    <w:p>
      <w:pPr>
        <w:pStyle w:val="Normal"/>
        <w:ind w:start="540"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  <w:t>-пропуски в оперативния контрол и др.</w:t>
      </w:r>
    </w:p>
    <w:p>
      <w:pPr>
        <w:pStyle w:val="Normal"/>
        <w:ind w:start="540"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</w:r>
    </w:p>
    <w:p>
      <w:pPr>
        <w:pStyle w:val="Normal"/>
        <w:tabs>
          <w:tab w:val="clear" w:pos="708"/>
          <w:tab w:val="left" w:pos="0" w:leader="none"/>
          <w:tab w:val="left" w:pos="9923" w:leader="none"/>
        </w:tabs>
        <w:ind w:start="142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</w:t>
      </w:r>
    </w:p>
    <w:p>
      <w:pPr>
        <w:pStyle w:val="Normal"/>
        <w:tabs>
          <w:tab w:val="clear" w:pos="708"/>
          <w:tab w:val="left" w:pos="0" w:leader="none"/>
          <w:tab w:val="left" w:pos="9923" w:leader="none"/>
        </w:tabs>
        <w:ind w:start="142" w:end="-850"/>
        <w:jc w:val="both"/>
        <w:rPr>
          <w:rFonts w:ascii="Arial" w:hAnsi="Arial" w:cs="Arial"/>
          <w:b/>
          <w:color w:val="000000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    </w:t>
      </w:r>
      <w:r>
        <w:rPr>
          <w:rFonts w:cs="Arial" w:ascii="Arial" w:hAnsi="Arial"/>
          <w:b/>
          <w:szCs w:val="24"/>
          <w:lang w:val="bg-BG" w:eastAsia="bg-BG" w:bidi="ar-SA"/>
        </w:rPr>
        <w:t>Съпътстващи документи</w:t>
        <w:tab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0" w:leader="none"/>
          <w:tab w:val="center" w:pos="4153" w:leader="none"/>
          <w:tab w:val="right" w:pos="8306" w:leader="none"/>
        </w:tabs>
        <w:ind w:hanging="360" w:start="108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Ф2-06 „Списък на представителите на заинтересованите страни”; 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0" w:leader="none"/>
          <w:tab w:val="center" w:pos="4153" w:leader="none"/>
          <w:tab w:val="right" w:pos="8306" w:leader="none"/>
        </w:tabs>
        <w:ind w:hanging="360" w:start="108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Ф2-07 „Анкетна карта сътрудници”</w:t>
      </w:r>
    </w:p>
    <w:p>
      <w:pPr>
        <w:pStyle w:val="Normal"/>
        <w:tabs>
          <w:tab w:val="clear" w:pos="708"/>
          <w:tab w:val="center" w:pos="4536" w:leader="none"/>
          <w:tab w:val="right" w:pos="9072" w:leader="none"/>
        </w:tabs>
        <w:ind w:end="-850"/>
        <w:jc w:val="both"/>
        <w:rPr>
          <w:rFonts w:ascii="Arial" w:hAnsi="Arial" w:cs="Arial"/>
          <w:b/>
          <w:szCs w:val="24"/>
          <w:lang w:val="bg-BG" w:eastAsia="bg-BG" w:bidi="ar-SA"/>
        </w:rPr>
      </w:pPr>
      <w:r>
        <w:rPr>
          <w:rFonts w:cs="Arial" w:ascii="Arial" w:hAnsi="Arial"/>
          <w:b/>
          <w:szCs w:val="24"/>
          <w:lang w:val="bg-BG" w:eastAsia="bg-BG" w:bidi="ar-SA"/>
        </w:rPr>
        <w:t xml:space="preserve">      </w:t>
      </w:r>
    </w:p>
    <w:p>
      <w:pPr>
        <w:pStyle w:val="Normal"/>
        <w:tabs>
          <w:tab w:val="clear" w:pos="708"/>
          <w:tab w:val="center" w:pos="4536" w:leader="none"/>
          <w:tab w:val="right" w:pos="9072" w:leader="none"/>
        </w:tabs>
        <w:ind w:end="-850"/>
        <w:jc w:val="both"/>
        <w:rPr>
          <w:rFonts w:ascii="Arial" w:hAnsi="Arial" w:cs="Arial"/>
          <w:b/>
          <w:color w:val="00FFFF"/>
          <w:szCs w:val="24"/>
          <w:lang w:val="bg-BG" w:eastAsia="bg-BG" w:bidi="ar-SA"/>
        </w:rPr>
      </w:pPr>
      <w:r>
        <w:rPr>
          <w:rFonts w:cs="Arial" w:ascii="Arial" w:hAnsi="Arial"/>
          <w:b/>
          <w:szCs w:val="24"/>
          <w:lang w:val="bg-BG" w:eastAsia="bg-BG" w:bidi="ar-SA"/>
        </w:rPr>
        <w:t xml:space="preserve">        </w:t>
      </w:r>
      <w:r>
        <w:rPr>
          <w:rFonts w:cs="Arial" w:ascii="Arial" w:hAnsi="Arial"/>
          <w:b/>
          <w:szCs w:val="24"/>
          <w:lang w:val="bg-BG" w:eastAsia="bg-BG" w:bidi="ar-SA"/>
        </w:rPr>
        <w:t>Позоваване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0" w:leader="none"/>
          <w:tab w:val="center" w:pos="4153" w:leader="none"/>
          <w:tab w:val="right" w:pos="8306" w:leader="none"/>
        </w:tabs>
        <w:ind w:hanging="360" w:start="108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pacing w:val="-2"/>
          <w:szCs w:val="24"/>
          <w:lang w:val="bg-BG" w:eastAsia="bg-BG" w:bidi="ar-SA"/>
        </w:rPr>
        <w:t>ОП1-01 „Управление на документите”;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0" w:leader="none"/>
          <w:tab w:val="center" w:pos="4153" w:leader="none"/>
          <w:tab w:val="right" w:pos="8306" w:leader="none"/>
        </w:tabs>
        <w:ind w:hanging="360" w:start="108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 xml:space="preserve">Ф4-13 </w:t>
      </w:r>
      <w:r>
        <w:rPr>
          <w:rFonts w:cs="Arial" w:ascii="Arial" w:hAnsi="Arial"/>
          <w:szCs w:val="24"/>
          <w:lang w:val="ru-RU" w:eastAsia="bg-BG" w:bidi="ar-SA"/>
        </w:rPr>
        <w:t xml:space="preserve"> </w:t>
      </w:r>
      <w:r>
        <w:rPr>
          <w:rFonts w:cs="Arial" w:ascii="Arial" w:hAnsi="Arial"/>
          <w:szCs w:val="24"/>
          <w:lang w:val="bg-BG" w:eastAsia="bg-BG" w:bidi="ar-SA"/>
        </w:rPr>
        <w:t>„Списък и оценка доставчици”;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0" w:leader="none"/>
          <w:tab w:val="center" w:pos="4153" w:leader="none"/>
          <w:tab w:val="right" w:pos="8306" w:leader="none"/>
        </w:tabs>
        <w:ind w:hanging="360" w:start="108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Ф5-03 ”Доклад за несъответствие”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080" w:leader="none"/>
          <w:tab w:val="center" w:pos="4153" w:leader="none"/>
          <w:tab w:val="right" w:pos="8306" w:leader="none"/>
        </w:tabs>
        <w:ind w:hanging="360" w:start="1080"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  <w:t>Ф4-26 „Дневник за регистриране на инциденти и опасности”;</w:t>
      </w:r>
    </w:p>
    <w:p>
      <w:pPr>
        <w:pStyle w:val="Normal"/>
        <w:tabs>
          <w:tab w:val="clear" w:pos="708"/>
          <w:tab w:val="center" w:pos="4536" w:leader="none"/>
          <w:tab w:val="right" w:pos="9072" w:leader="none"/>
        </w:tabs>
        <w:ind w:end="-850"/>
        <w:jc w:val="both"/>
        <w:rPr>
          <w:rFonts w:ascii="Arial" w:hAnsi="Arial" w:cs="Arial"/>
          <w:szCs w:val="24"/>
          <w:lang w:val="bg-BG" w:eastAsia="bg-BG" w:bidi="ar-SA"/>
        </w:rPr>
      </w:pPr>
      <w:r>
        <w:rPr>
          <w:rFonts w:cs="Arial" w:ascii="Arial" w:hAnsi="Arial"/>
          <w:szCs w:val="24"/>
          <w:lang w:val="bg-BG" w:eastAsia="bg-BG" w:bidi="ar-SA"/>
        </w:rPr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szCs w:val="24"/>
          <w:lang w:val="bg-BG" w:eastAsia="bg-BG" w:bidi="ar-SA"/>
        </w:rPr>
        <w:t xml:space="preserve">      </w:t>
      </w:r>
      <w:r>
        <w:rPr>
          <w:rFonts w:cs="Arial" w:ascii="Arial" w:hAnsi="Arial"/>
          <w:b/>
          <w:szCs w:val="24"/>
          <w:lang w:val="bg-BG" w:eastAsia="bg-BG" w:bidi="ar-SA"/>
        </w:rPr>
        <w:t xml:space="preserve">   </w:t>
      </w:r>
      <w:r>
        <w:rPr>
          <w:rFonts w:cs="Arial" w:ascii="Arial" w:hAnsi="Arial"/>
          <w:b/>
          <w:szCs w:val="24"/>
          <w:lang w:val="bg-BG" w:eastAsia="bg-BG" w:bidi="ar-SA"/>
        </w:rPr>
        <w:t>Отговорности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  <w:tab w:val="left" w:pos="993" w:leader="none"/>
          <w:tab w:val="left" w:pos="1080" w:leader="none"/>
        </w:tabs>
        <w:ind w:hanging="360" w:start="1080"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b/>
          <w:szCs w:val="24"/>
          <w:lang w:val="ru-RU" w:eastAsia="en-US" w:bidi="ar-SA"/>
        </w:rPr>
        <w:t>Управител</w:t>
      </w:r>
    </w:p>
    <w:p>
      <w:pPr>
        <w:pStyle w:val="Normal"/>
        <w:tabs>
          <w:tab w:val="clear" w:pos="708"/>
          <w:tab w:val="left" w:pos="-720" w:leader="none"/>
          <w:tab w:val="left" w:pos="993" w:leader="none"/>
          <w:tab w:val="left" w:pos="1080" w:leader="none"/>
        </w:tabs>
        <w:ind w:start="708"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>- определя чрез одобряване на Длъжностните характеристики, документите на СУ и заповедите, правомощията  и комуникацията между длъжностните лица;</w:t>
      </w:r>
    </w:p>
    <w:p>
      <w:pPr>
        <w:pStyle w:val="Normal"/>
        <w:tabs>
          <w:tab w:val="clear" w:pos="708"/>
          <w:tab w:val="left" w:pos="-720" w:leader="none"/>
          <w:tab w:val="left" w:pos="720" w:leader="none"/>
          <w:tab w:val="left" w:pos="810" w:leader="none"/>
        </w:tabs>
        <w:ind w:start="720"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>- отговаря за огласяване на Политиката и Целите на ръководството за СУ;</w:t>
      </w:r>
    </w:p>
    <w:p>
      <w:pPr>
        <w:pStyle w:val="Normal"/>
        <w:tabs>
          <w:tab w:val="clear" w:pos="708"/>
          <w:tab w:val="left" w:pos="-720" w:leader="none"/>
          <w:tab w:val="left" w:pos="720" w:leader="none"/>
        </w:tabs>
        <w:ind w:start="720"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>- утвърждава Програми за опазване на околната среда;</w:t>
      </w:r>
    </w:p>
    <w:p>
      <w:pPr>
        <w:pStyle w:val="Normal"/>
        <w:tabs>
          <w:tab w:val="clear" w:pos="708"/>
          <w:tab w:val="left" w:pos="-720" w:leader="none"/>
          <w:tab w:val="left" w:pos="720" w:leader="none"/>
        </w:tabs>
        <w:ind w:start="720"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>- определя длъжностните лица, които осъществяват външни комуникации;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  <w:tab w:val="left" w:pos="993" w:leader="none"/>
          <w:tab w:val="left" w:pos="1080" w:leader="none"/>
        </w:tabs>
        <w:ind w:hanging="360" w:start="1080" w:end="-850"/>
        <w:jc w:val="both"/>
        <w:rPr>
          <w:rFonts w:ascii="Arial" w:hAnsi="Arial" w:cs="Arial"/>
          <w:b/>
          <w:szCs w:val="24"/>
          <w:lang w:val="bg-BG" w:eastAsia="en-US" w:bidi="ar-SA"/>
        </w:rPr>
      </w:pPr>
      <w:r>
        <w:rPr>
          <w:rFonts w:cs="Arial" w:ascii="Arial" w:hAnsi="Arial"/>
          <w:b/>
          <w:szCs w:val="24"/>
          <w:lang w:val="bg-BG" w:eastAsia="en-US" w:bidi="ar-SA"/>
        </w:rPr>
        <w:t xml:space="preserve">Упълномощени със заповед на управителя лица </w:t>
      </w:r>
    </w:p>
    <w:p>
      <w:pPr>
        <w:pStyle w:val="Normal"/>
        <w:tabs>
          <w:tab w:val="clear" w:pos="708"/>
          <w:tab w:val="left" w:pos="-720" w:leader="none"/>
          <w:tab w:val="left" w:pos="993" w:leader="none"/>
        </w:tabs>
        <w:ind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 xml:space="preserve">           </w:t>
      </w:r>
      <w:r>
        <w:rPr>
          <w:rFonts w:cs="Arial" w:ascii="Arial" w:hAnsi="Arial"/>
          <w:szCs w:val="24"/>
          <w:lang w:val="bg-BG" w:eastAsia="en-US" w:bidi="ar-SA"/>
        </w:rPr>
        <w:t>- провеждат предвидените инструктажи;</w:t>
      </w:r>
    </w:p>
    <w:p>
      <w:pPr>
        <w:pStyle w:val="Normal"/>
        <w:tabs>
          <w:tab w:val="clear" w:pos="708"/>
          <w:tab w:val="left" w:pos="-720" w:leader="none"/>
          <w:tab w:val="left" w:pos="993" w:leader="none"/>
        </w:tabs>
        <w:ind w:end="-850"/>
        <w:jc w:val="both"/>
        <w:rPr/>
      </w:pPr>
      <w:r>
        <w:rPr>
          <w:rFonts w:cs="Arial" w:ascii="Arial" w:hAnsi="Arial"/>
          <w:szCs w:val="24"/>
          <w:lang w:val="bg-BG" w:eastAsia="en-US" w:bidi="ar-SA"/>
        </w:rPr>
        <w:t xml:space="preserve">           </w:t>
      </w:r>
      <w:r>
        <w:rPr>
          <w:rFonts w:cs="Arial" w:ascii="Arial" w:hAnsi="Arial"/>
          <w:szCs w:val="24"/>
          <w:lang w:val="bg-BG" w:eastAsia="en-US" w:bidi="ar-SA"/>
        </w:rPr>
        <w:t>- онагледяват информацията за по-лесна комуникация между заинтересованите лица;</w:t>
      </w:r>
    </w:p>
    <w:p>
      <w:pPr>
        <w:pStyle w:val="Normal"/>
        <w:tabs>
          <w:tab w:val="clear" w:pos="708"/>
          <w:tab w:val="left" w:pos="-720" w:leader="none"/>
          <w:tab w:val="left" w:pos="993" w:leader="none"/>
        </w:tabs>
        <w:ind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  <w:tab w:val="left" w:pos="993" w:leader="none"/>
          <w:tab w:val="left" w:pos="1080" w:leader="none"/>
        </w:tabs>
        <w:ind w:hanging="360" w:start="1080" w:end="0"/>
        <w:jc w:val="both"/>
        <w:rPr>
          <w:rFonts w:ascii="Arial" w:hAnsi="Arial" w:cs="Arial"/>
          <w:b/>
          <w:szCs w:val="24"/>
          <w:lang w:val="bg-BG" w:eastAsia="en-US" w:bidi="ar-SA"/>
        </w:rPr>
      </w:pPr>
      <w:r>
        <w:rPr>
          <w:rFonts w:cs="Arial" w:ascii="Arial" w:hAnsi="Arial"/>
          <w:b/>
          <w:szCs w:val="24"/>
          <w:lang w:val="bg-BG" w:eastAsia="en-US" w:bidi="ar-SA"/>
        </w:rPr>
        <w:t xml:space="preserve">Представител на ръководството 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993" w:leader="none"/>
        </w:tabs>
        <w:ind w:hanging="360" w:start="1170" w:end="-850"/>
        <w:jc w:val="both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  <w:t>контролира спазване на разпоредбите за комуникация между длъжностните лица и външните институции.</w:t>
      </w:r>
    </w:p>
    <w:p>
      <w:pPr>
        <w:pStyle w:val="Normal"/>
        <w:rPr>
          <w:rFonts w:ascii="Arial" w:hAnsi="Arial" w:cs="Arial"/>
          <w:szCs w:val="24"/>
          <w:lang w:val="bg-BG" w:eastAsia="en-US" w:bidi="ar-SA"/>
        </w:rPr>
      </w:pPr>
      <w:r>
        <w:rPr>
          <w:rFonts w:cs="Arial" w:ascii="Arial" w:hAnsi="Arial"/>
          <w:szCs w:val="24"/>
          <w:lang w:val="bg-BG" w:eastAsia="en-US" w:bidi="ar-SA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619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16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Изготвил: ……………</w:t>
            </w:r>
          </w:p>
        </w:tc>
        <w:tc>
          <w:tcPr>
            <w:tcW w:w="4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 г.</w:t>
            </w:r>
          </w:p>
        </w:tc>
        <w:tc>
          <w:tcPr>
            <w:tcW w:w="4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12.01.2026г.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2125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7371" w:leader="none"/>
      </w:tabs>
      <w:ind w:end="-708"/>
      <w:rPr/>
    </w:pPr>
    <w:r>
      <w:rPr/>
      <w:t>________________________________________________________________________________</w:t>
    </w:r>
  </w:p>
  <w:tbl>
    <w:tblPr>
      <w:tblW w:w="9779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969"/>
      <w:gridCol w:w="2338"/>
    </w:tblGrid>
    <w:tr>
      <w:trPr>
        <w:cantSplit/>
      </w:trPr>
      <w:tc>
        <w:tcPr>
          <w:tcW w:w="7441" w:type="dxa"/>
          <w:gridSpan w:val="2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Style w:val="PageNumber"/>
              <w:rFonts w:ascii="Arial" w:hAnsi="Arial" w:cs="Arial"/>
              <w:sz w:val="20"/>
            </w:rPr>
          </w:pPr>
          <w:r>
            <w:rPr/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  <w:lang w:val="bg-BG"/>
            </w:rPr>
            <w:t xml:space="preserve">Страница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6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  <w:lang w:val="bg-BG"/>
            </w:rPr>
            <w:t>от</w:t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6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>Ревизия:</w:t>
          </w:r>
          <w:r>
            <w:rPr>
              <w:rFonts w:cs="Arial" w:ascii="Arial" w:hAnsi="Arial"/>
              <w:sz w:val="20"/>
              <w:lang w:val="en-US"/>
            </w:rPr>
            <w:t xml:space="preserve"> </w:t>
          </w:r>
          <w:r>
            <w:rPr>
              <w:rFonts w:cs="Arial" w:ascii="Arial" w:hAnsi="Arial"/>
              <w:sz w:val="20"/>
              <w:lang w:val="bg-BG"/>
            </w:rPr>
            <w:t>01</w:t>
          </w:r>
        </w:p>
      </w:tc>
      <w:tc>
        <w:tcPr>
          <w:tcW w:w="3969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>Дата</w:t>
          </w:r>
          <w:r>
            <w:rPr>
              <w:rFonts w:cs="Arial" w:ascii="Arial" w:hAnsi="Arial"/>
              <w:sz w:val="20"/>
            </w:rPr>
            <w:t>:</w:t>
          </w:r>
          <w:r>
            <w:rPr>
              <w:rFonts w:cs="Arial" w:ascii="Arial" w:hAnsi="Arial"/>
              <w:sz w:val="20"/>
              <w:lang w:val="bg-BG"/>
            </w:rPr>
            <w:t xml:space="preserve"> </w:t>
          </w:r>
          <w:r>
            <w:rPr>
              <w:rFonts w:cs="Arial" w:ascii="Arial" w:hAnsi="Arial"/>
              <w:sz w:val="20"/>
            </w:rPr>
            <w:t>1</w:t>
          </w:r>
          <w:r>
            <w:rPr>
              <w:rFonts w:cs="Arial" w:ascii="Arial" w:hAnsi="Arial"/>
              <w:sz w:val="20"/>
              <w:lang w:val="bg-BG"/>
            </w:rPr>
            <w:t>2</w:t>
          </w:r>
          <w:r>
            <w:rPr>
              <w:rFonts w:cs="Arial" w:ascii="Arial" w:hAnsi="Arial"/>
              <w:sz w:val="20"/>
            </w:rPr>
            <w:t>.0</w:t>
          </w:r>
          <w:r>
            <w:rPr>
              <w:rFonts w:cs="Arial" w:ascii="Arial" w:hAnsi="Arial"/>
              <w:sz w:val="20"/>
              <w:lang w:val="en-US"/>
            </w:rPr>
            <w:t>1</w:t>
          </w:r>
          <w:r>
            <w:rPr>
              <w:rFonts w:cs="Arial" w:ascii="Arial" w:hAnsi="Arial"/>
              <w:sz w:val="20"/>
            </w:rPr>
            <w:t>.20</w:t>
          </w:r>
          <w:r>
            <w:rPr>
              <w:rFonts w:cs="Arial" w:ascii="Arial" w:hAnsi="Arial"/>
              <w:sz w:val="20"/>
              <w:lang w:val="en-US"/>
            </w:rPr>
            <w:t>2</w:t>
          </w:r>
          <w:r>
            <w:rPr>
              <w:rFonts w:cs="Arial" w:ascii="Arial" w:hAnsi="Arial"/>
              <w:sz w:val="20"/>
              <w:lang w:val="bg-BG"/>
            </w:rPr>
            <w:t>6</w:t>
          </w:r>
        </w:p>
      </w:tc>
    </w:tr>
  </w:tbl>
  <w:p>
    <w:pPr>
      <w:pStyle w:val="Footer"/>
      <w:tabs>
        <w:tab w:val="clear" w:pos="4536"/>
        <w:tab w:val="center" w:pos="7371" w:leader="none"/>
      </w:tabs>
      <w:rPr>
        <w:rStyle w:val="PageNumber"/>
        <w:rFonts w:ascii="Arial" w:hAnsi="Arial" w:cs="Arial"/>
        <w:sz w:val="20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230"/>
      <w:gridCol w:w="5495"/>
      <w:gridCol w:w="1485"/>
    </w:tblGrid>
    <w:tr>
      <w:trPr>
        <w:trHeight w:val="646" w:hRule="atLeast"/>
        <w:cantSplit/>
      </w:trPr>
      <w:tc>
        <w:tcPr>
          <w:tcW w:w="223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СМП ПЛЕВЕН ЕООД</w:t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1"/>
            <w:spacing w:before="0" w:after="0"/>
            <w:ind w:hanging="0" w:start="0"/>
            <w:jc w:val="center"/>
            <w:rPr>
              <w:b w:val="false"/>
            </w:rPr>
          </w:pPr>
          <w:r>
            <w:rPr>
              <w:lang w:val="bg-BG"/>
            </w:rPr>
            <w:t>Описание на процеса</w:t>
          </w:r>
        </w:p>
      </w:tc>
      <w:tc>
        <w:tcPr>
          <w:tcW w:w="148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cs="Arial" w:ascii="Arial" w:hAnsi="Arial"/>
              <w:lang w:val="bg-BG"/>
            </w:rPr>
            <w:t>док.ном.</w:t>
          </w:r>
          <w:r>
            <w:rPr>
              <w:rFonts w:cs="Arial" w:ascii="Arial" w:hAnsi="Arial"/>
              <w:lang w:val="it-IT"/>
            </w:rPr>
            <w:t>:</w:t>
          </w:r>
        </w:p>
        <w:p>
          <w:pPr>
            <w:pStyle w:val="Normal"/>
            <w:jc w:val="center"/>
            <w:rPr>
              <w:rFonts w:ascii="Arial" w:hAnsi="Arial" w:cs="Arial"/>
              <w:sz w:val="28"/>
              <w:lang w:val="bg-BG"/>
            </w:rPr>
          </w:pPr>
          <w:r>
            <w:rPr>
              <w:rFonts w:cs="Arial" w:ascii="Arial" w:hAnsi="Arial"/>
              <w:lang w:val="bg-BG"/>
            </w:rPr>
            <w:t>ОП2-02</w:t>
          </w:r>
        </w:p>
      </w:tc>
    </w:tr>
    <w:tr>
      <w:trPr>
        <w:trHeight w:val="645" w:hRule="atLeast"/>
        <w:cantSplit/>
      </w:trPr>
      <w:tc>
        <w:tcPr>
          <w:tcW w:w="223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8"/>
              <w:lang w:val="bg-BG"/>
            </w:rPr>
          </w:pPr>
          <w:r>
            <w:rPr>
              <w:rFonts w:cs="Arial" w:ascii="Arial" w:hAnsi="Arial"/>
              <w:sz w:val="28"/>
              <w:lang w:val="bg-BG"/>
            </w:rPr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1"/>
            <w:spacing w:before="0" w:after="0"/>
            <w:ind w:hanging="0" w:start="0"/>
            <w:jc w:val="center"/>
            <w:rPr>
              <w:lang w:val="bg-BG"/>
            </w:rPr>
          </w:pPr>
          <w:r>
            <w:rPr>
              <w:lang w:val="bg-BG"/>
            </w:rPr>
            <w:t>Комуникации и консултации</w:t>
          </w:r>
        </w:p>
      </w:tc>
      <w:tc>
        <w:tcPr>
          <w:tcW w:w="14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lang w:val="bg-BG"/>
            </w:rPr>
          </w:pPr>
          <w:r>
            <w:rPr>
              <w:rFonts w:cs="Arial" w:ascii="Arial" w:hAnsi="Arial"/>
              <w:lang w:val="bg-BG"/>
            </w:rPr>
          </w:r>
        </w:p>
      </w:tc>
    </w:tr>
    <w:tr>
      <w:trPr>
        <w:cantSplit/>
      </w:trPr>
      <w:tc>
        <w:tcPr>
          <w:tcW w:w="9210" w:type="dxa"/>
          <w:gridSpan w:val="3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sz w:val="28"/>
              <w:lang w:val="bg-BG"/>
            </w:rPr>
          </w:pPr>
          <w:r>
            <w:rPr>
              <w:rFonts w:cs="Arial" w:ascii="Arial" w:hAnsi="Arial"/>
              <w:sz w:val="28"/>
              <w:lang w:val="bg-BG"/>
            </w:rPr>
          </w:r>
        </w:p>
        <w:p>
          <w:pPr>
            <w:pStyle w:val="Normal"/>
            <w:rPr>
              <w:rFonts w:ascii="Arial" w:hAnsi="Arial" w:cs="Arial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Цел</w:t>
          </w:r>
          <w:r>
            <w:rPr>
              <w:rFonts w:cs="Arial" w:ascii="Arial" w:hAnsi="Arial"/>
              <w:b/>
            </w:rPr>
            <w:t>:</w:t>
          </w:r>
          <w:r>
            <w:rPr>
              <w:rFonts w:cs="Arial" w:ascii="Arial" w:hAnsi="Arial"/>
              <w:lang w:val="bg-BG"/>
            </w:rPr>
            <w:t xml:space="preserve"> Регулира дейностите по обмен на информация </w:t>
          </w:r>
        </w:p>
        <w:p>
          <w:pPr>
            <w:pStyle w:val="Normal"/>
            <w:rPr/>
          </w:pPr>
          <w:r>
            <w:rPr>
              <w:rFonts w:cs="Arial" w:ascii="Arial" w:hAnsi="Arial"/>
              <w:b/>
              <w:lang w:val="bg-BG"/>
            </w:rPr>
            <w:t>Област на прилагане:</w:t>
          </w:r>
          <w:r>
            <w:rPr>
              <w:rFonts w:cs="Arial" w:ascii="Arial" w:hAnsi="Arial"/>
              <w:lang w:val="bg-BG"/>
            </w:rPr>
            <w:t xml:space="preserve"> Цялата фирма</w:t>
          </w:r>
        </w:p>
        <w:p>
          <w:pPr>
            <w:pStyle w:val="Normal"/>
            <w:rPr>
              <w:rFonts w:ascii="Arial" w:hAnsi="Arial" w:cs="Arial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 xml:space="preserve">Собственик на процесите: </w:t>
          </w:r>
          <w:r>
            <w:rPr>
              <w:rFonts w:cs="Arial" w:ascii="Arial" w:hAnsi="Arial"/>
              <w:bCs/>
              <w:lang w:val="bg-BG"/>
            </w:rPr>
            <w:t xml:space="preserve">Фирменото ръководство </w:t>
          </w:r>
          <w:r>
            <w:rPr>
              <w:rFonts w:cs="Arial" w:ascii="Arial" w:hAnsi="Arial"/>
              <w:b/>
              <w:lang w:val="bg-BG"/>
            </w:rPr>
            <w:tab/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</w:abstractNum>
  <w:abstractNum w:abstractNumId="6">
    <w:lvl w:ilvl="0">
      <w:start w:val="5"/>
      <w:numFmt w:val="bullet"/>
      <w:lvlText w:val="-"/>
      <w:lvlJc w:val="start"/>
      <w:pPr>
        <w:tabs>
          <w:tab w:val="num" w:pos="0"/>
        </w:tabs>
        <w:ind w:start="1170" w:hanging="360"/>
      </w:pPr>
      <w:rPr>
        <w:rFonts w:ascii="Arial" w:hAnsi="Arial" w:cs="Aria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Arial" w:hAnsi="Arial" w:eastAsia="Times New Roman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ing4Char">
    <w:name w:val="Heading 4 Char"/>
    <w:qFormat/>
    <w:rPr>
      <w:rFonts w:ascii="Calibri" w:hAnsi="Calibri" w:eastAsia="Times New Roman" w:cs="Times New Roman"/>
      <w:b/>
      <w:bCs/>
      <w:sz w:val="28"/>
      <w:szCs w:val="28"/>
      <w:lang w:val="de-DE" w:bidi="he-IL"/>
    </w:rPr>
  </w:style>
  <w:style w:type="character" w:styleId="FooterChar">
    <w:name w:val="Footer Char"/>
    <w:qFormat/>
    <w:rPr>
      <w:sz w:val="24"/>
      <w:lang w:val="de-DE" w:bidi="he-IL"/>
    </w:rPr>
  </w:style>
  <w:style w:type="character" w:styleId="BodyTextIndent2Char">
    <w:name w:val="Body Text Indent 2 Char"/>
    <w:qFormat/>
    <w:rPr>
      <w:sz w:val="24"/>
      <w:lang w:val="de-DE" w:bidi="he-IL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Arial" w:hAnsi="Arial" w:cs="Arial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283" w:end="0"/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2005-10-23T20:27:00Z</dcterms:created>
  <dc:creator>Nikolaj</dc:creator>
  <dc:description/>
  <cp:keywords/>
  <dc:language>bg-BG</dc:language>
  <cp:lastModifiedBy>Георги Георгиев</cp:lastModifiedBy>
  <cp:lastPrinted>2007-11-03T12:06:00Z</cp:lastPrinted>
  <dcterms:modified xsi:type="dcterms:W3CDTF">2026-03-23T19:07:00Z</dcterms:modified>
  <cp:revision>88</cp:revision>
  <dc:subject/>
  <dc:title/>
</cp:coreProperties>
</file>