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OC3"/>
        <w:ind w:firstLine="708" w:end="-85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1. ЦЕЛ</w:t>
      </w:r>
    </w:p>
    <w:p>
      <w:pPr>
        <w:pStyle w:val="Normal"/>
        <w:ind w:end="-180"/>
        <w:jc w:val="both"/>
        <w:rPr/>
      </w:pPr>
      <w:r>
        <w:rPr>
          <w:rFonts w:cs="Arial" w:ascii="Arial" w:hAnsi="Arial"/>
          <w:lang w:eastAsia="en-US"/>
        </w:rPr>
        <w:t xml:space="preserve">          </w:t>
      </w:r>
      <w:r>
        <w:rPr>
          <w:rFonts w:cs="Arial" w:ascii="Arial" w:hAnsi="Arial"/>
          <w:lang w:eastAsia="en-US"/>
        </w:rPr>
        <w:t xml:space="preserve">Целта на настоящата процедура е идентифициране на опасностите за здравето и безопасността при работа, оценяване и овладяване на риска в </w:t>
      </w:r>
      <w:r>
        <w:rPr>
          <w:rFonts w:cs="Arial" w:ascii="Arial" w:hAnsi="Arial"/>
          <w:color w:val="000000"/>
          <w:lang w:eastAsia="en-US"/>
        </w:rPr>
        <w:t>СМП ПЛЕВЕН ЕООД</w:t>
      </w:r>
      <w:r>
        <w:rPr>
          <w:rFonts w:cs="Arial" w:ascii="Arial" w:hAnsi="Arial"/>
          <w:lang w:eastAsia="en-US"/>
        </w:rPr>
        <w:t>.</w:t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</w:t>
      </w:r>
    </w:p>
    <w:p>
      <w:pPr>
        <w:pStyle w:val="Normal"/>
        <w:ind w:end="-180"/>
        <w:rPr/>
      </w:pPr>
      <w:r>
        <w:rPr>
          <w:rFonts w:cs="Arial" w:ascii="Arial" w:hAnsi="Arial"/>
          <w:lang w:eastAsia="en-US"/>
        </w:rPr>
        <w:t xml:space="preserve">         </w:t>
      </w:r>
      <w:r>
        <w:rPr>
          <w:rFonts w:cs="Arial" w:ascii="Arial" w:hAnsi="Arial"/>
          <w:b/>
          <w:lang w:eastAsia="en-US"/>
        </w:rPr>
        <w:t>2. ОБЛАСТ НА ПРИЛОЖЕНИЕ</w:t>
      </w:r>
    </w:p>
    <w:p>
      <w:pPr>
        <w:pStyle w:val="BodyText2"/>
        <w:ind w:start="-60" w:end="-180"/>
        <w:jc w:val="both"/>
        <w:rPr/>
      </w:pPr>
      <w:r>
        <w:rPr>
          <w:rFonts w:cs="Arial"/>
          <w:sz w:val="24"/>
          <w:szCs w:val="24"/>
        </w:rPr>
        <w:t xml:space="preserve">          </w:t>
      </w:r>
      <w:r>
        <w:rPr>
          <w:rFonts w:cs="Arial"/>
          <w:sz w:val="24"/>
          <w:szCs w:val="24"/>
        </w:rPr>
        <w:t>Процедурата се отнася за членовете на Комитета по условия на труд и служителите, ангажирани в идентифицирането и оценяването на риска. Обхваща дейностите по идентифициране на опасностите, в т.ч. и тези при поемане на нови обекти, усвояване и прилагане на нови технологии, създаване и актуализиране на подходяща система за оценка на опасностите и поддържането ѝ.</w:t>
      </w:r>
    </w:p>
    <w:p>
      <w:pPr>
        <w:pStyle w:val="Normal"/>
        <w:ind w:end="284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</w:t>
      </w:r>
    </w:p>
    <w:p>
      <w:pPr>
        <w:pStyle w:val="Normal"/>
        <w:ind w:end="-850"/>
        <w:jc w:val="both"/>
        <w:rPr/>
      </w:pPr>
      <w:r>
        <w:rPr>
          <w:rFonts w:cs="Arial" w:ascii="Arial" w:hAnsi="Arial"/>
          <w:lang w:eastAsia="en-US"/>
        </w:rPr>
        <w:t xml:space="preserve">          </w:t>
      </w:r>
      <w:r>
        <w:rPr>
          <w:rFonts w:cs="Arial" w:ascii="Arial" w:hAnsi="Arial"/>
          <w:b/>
          <w:lang w:eastAsia="en-US"/>
        </w:rPr>
        <w:t xml:space="preserve">3.ТЕРМИНИ И ОПРЕДЕЛЕНИЯ </w:t>
      </w:r>
    </w:p>
    <w:p>
      <w:pPr>
        <w:pStyle w:val="Normal"/>
        <w:ind w:hanging="1" w:start="709" w:end="-180"/>
        <w:jc w:val="both"/>
        <w:rPr/>
      </w:pPr>
      <w:r>
        <w:rPr>
          <w:rFonts w:cs="Arial" w:ascii="Arial" w:hAnsi="Arial"/>
          <w:b/>
          <w:lang w:eastAsia="en-US"/>
        </w:rPr>
        <w:t xml:space="preserve">Работно място - </w:t>
      </w:r>
      <w:r>
        <w:rPr>
          <w:rFonts w:cs="Arial" w:ascii="Arial" w:hAnsi="Arial"/>
          <w:lang w:eastAsia="en-US"/>
        </w:rPr>
        <w:t>всяко физическо място, в което се извършват дейности, свързани с работата, под контрола на организацията;</w:t>
      </w:r>
    </w:p>
    <w:p>
      <w:pPr>
        <w:pStyle w:val="Normal"/>
        <w:ind w:firstLine="709" w:end="-180"/>
        <w:jc w:val="both"/>
        <w:rPr/>
      </w:pPr>
      <w:r>
        <w:rPr>
          <w:rFonts w:cs="Arial" w:ascii="Arial" w:hAnsi="Arial"/>
          <w:b/>
          <w:lang w:eastAsia="en-US"/>
        </w:rPr>
        <w:t xml:space="preserve">Здраве и безопасност при работа -  </w:t>
      </w:r>
      <w:r>
        <w:rPr>
          <w:rFonts w:cs="Arial" w:ascii="Arial" w:hAnsi="Arial"/>
          <w:lang w:eastAsia="en-US"/>
        </w:rPr>
        <w:t>условия и фактори, които влияят или биха могли да повлияят върху здравето и безопасността на служителите или на други работници (включително временни  работници и персонал на договорни партньори), посетители или други лица на работното място ;</w:t>
      </w:r>
    </w:p>
    <w:p>
      <w:pPr>
        <w:pStyle w:val="Normal"/>
        <w:ind w:firstLine="708" w:end="-180"/>
        <w:jc w:val="both"/>
        <w:rPr/>
      </w:pPr>
      <w:r>
        <w:rPr>
          <w:rFonts w:cs="Arial" w:ascii="Arial" w:hAnsi="Arial"/>
          <w:b/>
          <w:lang w:eastAsia="en-US"/>
        </w:rPr>
        <w:t xml:space="preserve">Оценяване на риска - </w:t>
      </w:r>
      <w:r>
        <w:rPr>
          <w:rFonts w:cs="Arial" w:ascii="Arial" w:hAnsi="Arial"/>
          <w:lang w:eastAsia="en-US"/>
        </w:rPr>
        <w:t>процес на оценяване на риска,  възникващ от опасност(и), като се отчита адекватността на съществуващите мерки за управление и се взема решение, дали рискът (рисковете) е приемлив;</w:t>
      </w:r>
    </w:p>
    <w:p>
      <w:pPr>
        <w:pStyle w:val="Normal"/>
        <w:ind w:firstLine="709" w:end="-180"/>
        <w:jc w:val="both"/>
        <w:rPr/>
      </w:pPr>
      <w:r>
        <w:rPr>
          <w:rFonts w:cs="Arial" w:ascii="Arial" w:hAnsi="Arial"/>
          <w:b/>
          <w:lang w:eastAsia="en-US"/>
        </w:rPr>
        <w:t xml:space="preserve">Риск - </w:t>
      </w:r>
      <w:r>
        <w:rPr>
          <w:rFonts w:cs="Arial" w:ascii="Arial" w:hAnsi="Arial"/>
          <w:lang w:eastAsia="en-US"/>
        </w:rPr>
        <w:t>комбинация от вероятността за възникване на определено опасно събитие или въздействие(я)  и тежестта на нараняване или заболяване, които могат да бъдат причинени от събитието или въздействието(та);</w:t>
      </w:r>
    </w:p>
    <w:p>
      <w:pPr>
        <w:pStyle w:val="Normal"/>
        <w:ind w:firstLine="708" w:end="-180"/>
        <w:jc w:val="both"/>
        <w:rPr>
          <w:rFonts w:ascii="Arial" w:hAnsi="Arial" w:cs="Arial"/>
          <w:b/>
          <w:lang w:eastAsia="en-US"/>
        </w:rPr>
      </w:pPr>
      <w:r>
        <w:rPr>
          <w:rFonts w:cs="Arial" w:ascii="Arial" w:hAnsi="Arial"/>
          <w:b/>
          <w:lang w:eastAsia="en-US"/>
        </w:rPr>
        <w:t xml:space="preserve">Приемлив риск - </w:t>
      </w:r>
      <w:r>
        <w:rPr>
          <w:rFonts w:cs="Arial" w:ascii="Arial" w:hAnsi="Arial"/>
          <w:lang w:eastAsia="en-US"/>
        </w:rPr>
        <w:t>риск, който е сведен до ниво, което организацията може да понесе, като се имат предвид нейните задължения към нормативната уредба и нейната собствена политика за здравето и безопасността при работа ;</w:t>
      </w:r>
    </w:p>
    <w:p>
      <w:pPr>
        <w:pStyle w:val="Normal"/>
        <w:ind w:hanging="709" w:end="-180"/>
        <w:jc w:val="both"/>
        <w:rPr/>
      </w:pPr>
      <w:r>
        <w:rPr>
          <w:rFonts w:cs="Arial" w:ascii="Arial" w:hAnsi="Arial"/>
          <w:b/>
          <w:lang w:eastAsia="en-US"/>
        </w:rPr>
        <w:tab/>
        <w:t xml:space="preserve">           Опасност - </w:t>
      </w:r>
      <w:r>
        <w:rPr>
          <w:rFonts w:cs="Arial" w:ascii="Arial" w:hAnsi="Arial"/>
          <w:lang w:eastAsia="en-US"/>
        </w:rPr>
        <w:t>източник, ситуация или действие, които могат да доведат до щети, в смисъл на нараняване на хора или до  заболяване, или до комбинация от тях;</w:t>
      </w:r>
    </w:p>
    <w:p>
      <w:pPr>
        <w:pStyle w:val="Normal"/>
        <w:ind w:firstLine="708" w:end="-180"/>
        <w:jc w:val="both"/>
        <w:rPr/>
      </w:pPr>
      <w:r>
        <w:rPr>
          <w:rFonts w:cs="Arial" w:ascii="Arial" w:hAnsi="Arial"/>
          <w:b/>
          <w:lang w:eastAsia="en-US"/>
        </w:rPr>
        <w:t xml:space="preserve">Идентифициране на опасност - </w:t>
      </w:r>
      <w:r>
        <w:rPr>
          <w:rFonts w:cs="Arial" w:ascii="Arial" w:hAnsi="Arial"/>
          <w:lang w:eastAsia="en-US"/>
        </w:rPr>
        <w:t>процес за определяне на съществуването на опасност и за определяне на нейните характеристики;</w:t>
      </w:r>
    </w:p>
    <w:p>
      <w:pPr>
        <w:pStyle w:val="Normal"/>
        <w:ind w:firstLine="708" w:end="-180"/>
        <w:jc w:val="both"/>
        <w:rPr/>
      </w:pPr>
      <w:r>
        <w:rPr>
          <w:rFonts w:cs="Arial" w:ascii="Arial" w:hAnsi="Arial"/>
          <w:b/>
          <w:lang w:eastAsia="en-US"/>
        </w:rPr>
        <w:t xml:space="preserve">Заболяване - </w:t>
      </w:r>
      <w:r>
        <w:rPr>
          <w:rFonts w:cs="Arial" w:ascii="Arial" w:hAnsi="Arial"/>
          <w:lang w:eastAsia="en-US"/>
        </w:rPr>
        <w:t>неблагоприятно физическо или умствено състояние, което може да бъде идентифицирано и което възниква и/или се влошава от работна дейност и/или ситуация, свързана с работата;</w:t>
      </w:r>
    </w:p>
    <w:p>
      <w:pPr>
        <w:pStyle w:val="Normal"/>
        <w:ind w:hanging="1" w:end="-180"/>
        <w:jc w:val="both"/>
        <w:rPr/>
      </w:pPr>
      <w:r>
        <w:rPr>
          <w:rFonts w:cs="Arial" w:ascii="Arial" w:hAnsi="Arial"/>
          <w:b/>
          <w:lang w:eastAsia="en-US"/>
        </w:rPr>
        <w:t xml:space="preserve">           </w:t>
      </w:r>
      <w:r>
        <w:rPr>
          <w:rFonts w:cs="Arial" w:ascii="Arial" w:hAnsi="Arial"/>
          <w:b/>
          <w:lang w:eastAsia="en-US"/>
        </w:rPr>
        <w:t xml:space="preserve">Инцидент - </w:t>
      </w:r>
      <w:r>
        <w:rPr>
          <w:rFonts w:cs="Arial" w:ascii="Arial" w:hAnsi="Arial"/>
          <w:lang w:eastAsia="en-US"/>
        </w:rPr>
        <w:t>събитие(я), при което се е случило или е могло да се случи нараняване или заболяване  (независимо от неговата сериозност) или смъртен случай . Злополуката е инцидент, който е причинил нараняване, заболяване или смъртен случай. Аварийната ситуация представлява особен вид инцидент;</w:t>
      </w:r>
    </w:p>
    <w:p>
      <w:pPr>
        <w:pStyle w:val="Normal"/>
        <w:ind w:firstLine="707" w:start="1" w:end="-180"/>
        <w:jc w:val="both"/>
        <w:rPr/>
      </w:pPr>
      <w:r>
        <w:rPr>
          <w:rFonts w:cs="Arial" w:ascii="Arial" w:hAnsi="Arial"/>
          <w:b/>
          <w:lang w:eastAsia="en-US"/>
        </w:rPr>
        <w:t>Заинтересована страна</w:t>
      </w:r>
      <w:r>
        <w:rPr>
          <w:rFonts w:cs="Arial" w:ascii="Arial" w:hAnsi="Arial"/>
          <w:lang w:eastAsia="en-US"/>
        </w:rPr>
        <w:t xml:space="preserve"> - лице или група лица, в или извън работното място, имащи отношение или повлияни от изпълнението на дейността за осигуряване на здравето и безопасността на работното място  на дадена организация .</w:t>
      </w:r>
    </w:p>
    <w:p>
      <w:pPr>
        <w:pStyle w:val="Normal"/>
        <w:ind w:firstLine="720" w:end="284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b/>
          <w:lang w:eastAsia="en-US"/>
        </w:rPr>
        <w:t xml:space="preserve">Порти инцидент - </w:t>
      </w:r>
      <w:r>
        <w:rPr>
          <w:rFonts w:cs="Arial" w:ascii="Arial" w:hAnsi="Arial"/>
          <w:lang w:eastAsia="en-US"/>
        </w:rPr>
        <w:t>Инцидент, при който не се стига до нараняване или заболяване, но съществува възможност това да се случи, се нарича „почти инцидент“, „почти удар“ или „предупреждение за опасност“.</w:t>
      </w:r>
    </w:p>
    <w:p>
      <w:pPr>
        <w:pStyle w:val="Normal"/>
        <w:ind w:firstLine="720" w:end="284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ind w:firstLine="720" w:end="284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ind w:firstLine="720" w:end="-670"/>
        <w:jc w:val="both"/>
        <w:rPr>
          <w:rFonts w:ascii="Arial" w:hAnsi="Arial" w:cs="Arial"/>
          <w:b/>
          <w:lang w:eastAsia="en-US"/>
        </w:rPr>
      </w:pPr>
      <w:r>
        <w:rPr>
          <w:rFonts w:cs="Arial" w:ascii="Arial" w:hAnsi="Arial"/>
          <w:b/>
          <w:lang w:eastAsia="en-US"/>
        </w:rPr>
        <w:t>4. СЪЩНОСТ И ОБХВАТ НА ПРОЦЕДУРАТА</w:t>
      </w:r>
    </w:p>
    <w:p>
      <w:pPr>
        <w:pStyle w:val="Normal"/>
        <w:ind w:firstLine="567" w:end="-670"/>
        <w:jc w:val="both"/>
        <w:rPr/>
      </w:pPr>
      <w:r>
        <w:rPr>
          <w:rFonts w:cs="Arial" w:ascii="Arial" w:hAnsi="Arial"/>
          <w:b/>
          <w:lang w:eastAsia="en-US"/>
        </w:rPr>
        <w:br/>
        <w:t xml:space="preserve">        4.1.Използвани документи</w:t>
      </w:r>
    </w:p>
    <w:p>
      <w:pPr>
        <w:pStyle w:val="Normal"/>
        <w:tabs>
          <w:tab w:val="clear" w:pos="708"/>
          <w:tab w:val="left" w:pos="-720" w:leader="none"/>
        </w:tabs>
        <w:ind w:end="-850"/>
        <w:rPr/>
      </w:pPr>
      <w:r>
        <w:rPr>
          <w:rFonts w:cs="Arial" w:ascii="Arial" w:hAnsi="Arial"/>
          <w:color w:val="000000"/>
          <w:lang w:eastAsia="en-US"/>
        </w:rPr>
        <w:tab/>
        <w:t xml:space="preserve">Съгласно </w:t>
      </w:r>
      <w:r>
        <w:rPr>
          <w:rFonts w:cs="Arial" w:ascii="Arial" w:hAnsi="Arial"/>
          <w:lang w:eastAsia="en-US"/>
        </w:rPr>
        <w:t>Ф1-07 „Матрица на държавните документи”</w:t>
      </w:r>
      <w:r>
        <w:rPr>
          <w:rFonts w:cs="Arial" w:ascii="Arial" w:hAnsi="Arial"/>
          <w:color w:val="000000"/>
          <w:lang w:eastAsia="en-US"/>
        </w:rPr>
        <w:t>.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start="300" w:end="-850"/>
        <w:rPr/>
      </w:pPr>
      <w:r>
        <w:rPr>
          <w:rFonts w:cs="Arial" w:ascii="Arial" w:hAnsi="Arial"/>
          <w:b/>
          <w:color w:val="000000"/>
          <w:lang w:eastAsia="en-US"/>
        </w:rPr>
        <w:t xml:space="preserve">     </w:t>
      </w:r>
      <w:r>
        <w:rPr>
          <w:rFonts w:cs="Arial" w:ascii="Arial" w:hAnsi="Arial"/>
          <w:b/>
          <w:color w:val="000000"/>
          <w:lang w:eastAsia="en-US"/>
        </w:rPr>
        <w:br/>
        <w:t xml:space="preserve">    4.2.Входни елементи за идентифициране на опасностите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720" w:leader="none"/>
          <w:tab w:val="left" w:pos="9639" w:leader="none"/>
        </w:tabs>
        <w:ind w:hanging="360" w:start="1020" w:end="-284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>Нормативни актове ( приложение на принципите за превантивна дейност,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-284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 xml:space="preserve">              </w:t>
      </w:r>
      <w:r>
        <w:rPr>
          <w:rFonts w:cs="Arial" w:ascii="Arial" w:hAnsi="Arial"/>
          <w:color w:val="000000"/>
          <w:lang w:eastAsia="en-US"/>
        </w:rPr>
        <w:t>посочени в чл.4 и чл.10 от ЗЗБУТ) 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-720" w:leader="none"/>
        </w:tabs>
        <w:ind w:firstLine="409" w:start="300" w:end="-284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>Информация, предоставяна от национални служби и институции, компетентни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start="60" w:end="-284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 xml:space="preserve">             </w:t>
      </w:r>
      <w:r>
        <w:rPr>
          <w:rFonts w:cs="Arial" w:ascii="Arial" w:hAnsi="Arial"/>
          <w:color w:val="000000"/>
          <w:lang w:eastAsia="en-US"/>
        </w:rPr>
        <w:t>в областта на здравето и безопасността при работа;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-720" w:leader="none"/>
          <w:tab w:val="left" w:pos="9639" w:leader="none"/>
        </w:tabs>
        <w:ind w:firstLine="409" w:start="300" w:end="-284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>Данни от проведени наблюдения и измервания на факторите на       работната среда;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-720" w:leader="none"/>
          <w:tab w:val="left" w:pos="9639" w:leader="none"/>
        </w:tabs>
        <w:ind w:firstLine="409" w:start="300" w:end="-18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>Становища и оплаквания от работниците;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-720" w:leader="none"/>
          <w:tab w:val="left" w:pos="9639" w:leader="none"/>
        </w:tabs>
        <w:ind w:firstLine="409" w:start="300" w:end="-18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>Данни за инциденти и за общата и професионална заболяемост в бранша;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-720" w:leader="none"/>
          <w:tab w:val="left" w:pos="9639" w:leader="none"/>
        </w:tabs>
        <w:ind w:firstLine="409" w:start="300" w:end="-18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>Данни от медицински наблюдения и изследвания;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-720" w:leader="none"/>
          <w:tab w:val="left" w:pos="9639" w:leader="none"/>
        </w:tabs>
        <w:ind w:firstLine="409" w:start="300" w:end="-18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>Резултати от одити;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-720" w:leader="none"/>
          <w:tab w:val="left" w:pos="9639" w:leader="none"/>
        </w:tabs>
        <w:ind w:firstLine="409" w:start="300" w:end="-18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>Информация за инфраструктурата, процесите и дейностите на СМП ПЛЕВЕН ЕООД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-18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start="300" w:end="-180"/>
        <w:rPr/>
      </w:pPr>
      <w:r>
        <w:rPr>
          <w:rFonts w:cs="Arial" w:ascii="Arial" w:hAnsi="Arial"/>
          <w:b/>
          <w:color w:val="000000"/>
          <w:lang w:eastAsia="en-US"/>
        </w:rPr>
        <w:t xml:space="preserve">       </w:t>
      </w:r>
      <w:r>
        <w:rPr>
          <w:rFonts w:cs="Arial" w:ascii="Arial" w:hAnsi="Arial"/>
          <w:b/>
          <w:color w:val="000000"/>
          <w:lang w:eastAsia="en-US"/>
        </w:rPr>
        <w:t>4.3.Класификация на трудовите дейности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" w:hAnsi="Arial"/>
          <w:b/>
          <w:color w:val="000000"/>
          <w:lang w:eastAsia="en-US"/>
        </w:rPr>
        <w:tab/>
        <w:t xml:space="preserve">    </w:t>
      </w:r>
      <w:r>
        <w:rPr>
          <w:rFonts w:cs="Arial" w:ascii="Arial" w:hAnsi="Arial"/>
          <w:color w:val="000000"/>
          <w:lang w:eastAsia="en-US"/>
        </w:rPr>
        <w:t xml:space="preserve">       Това е първият етап от дейността, на който се разглеждат работните места и технологичните операции, обединени по групи. Дейността включва: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ab/>
        <w:t xml:space="preserve">          -изготвяне на списък на трудовите дейности на оценяваните обекти;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 xml:space="preserve">          </w:t>
      </w:r>
      <w:r>
        <w:rPr>
          <w:rFonts w:cs="Arial" w:ascii="Arial" w:hAnsi="Arial"/>
          <w:color w:val="000000"/>
          <w:lang w:eastAsia="en-US"/>
        </w:rPr>
        <w:t>-групиране по рационален за оценяването на риска начин;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" w:hAnsi="Arial"/>
          <w:color w:val="000000"/>
          <w:lang w:eastAsia="en-US"/>
        </w:rPr>
        <w:t xml:space="preserve">          </w:t>
      </w:r>
      <w:r>
        <w:rPr>
          <w:rFonts w:cs="Arial" w:ascii="Arial" w:hAnsi="Arial"/>
          <w:color w:val="000000"/>
          <w:lang w:eastAsia="en-US"/>
        </w:rPr>
        <w:t>-събиране на необходимата информация за всяко работно място: характерни опасности, нормативни разпоредби, мерки за защита и всякаква друга информация необходима за оценяването.</w:t>
      </w:r>
    </w:p>
    <w:p>
      <w:pPr>
        <w:pStyle w:val="Normal"/>
        <w:tabs>
          <w:tab w:val="clear" w:pos="708"/>
          <w:tab w:val="left" w:pos="-720" w:leader="none"/>
        </w:tabs>
        <w:ind w:hanging="16" w:end="-180"/>
        <w:jc w:val="both"/>
        <w:rPr/>
      </w:pPr>
      <w:r>
        <w:rPr>
          <w:rFonts w:cs="Arial" w:ascii="Arial" w:hAnsi="Arial"/>
          <w:color w:val="000000"/>
          <w:lang w:eastAsia="en-US"/>
        </w:rPr>
        <w:t xml:space="preserve"> </w:t>
      </w:r>
      <w:r>
        <w:rPr>
          <w:rFonts w:cs="Arial" w:ascii="Arial" w:hAnsi="Arial"/>
          <w:color w:val="000000"/>
          <w:lang w:eastAsia="en-US"/>
        </w:rPr>
        <w:tab/>
        <w:t>Много важен е контактът с работещите и изслушването на тяхното мнение. Вземат се в предвид както опасностите и рисковете породени от дейности, извършвани от служителите и работниците на СМП ПЛЕВЕН ЕООД, така и опасностите и рисковете възникнали от дейностите на контрагенти или външни посетители и от използването на продукти или услуги, доставени от други организации.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-180"/>
        <w:jc w:val="both"/>
        <w:rPr/>
      </w:pPr>
      <w:r>
        <w:rPr>
          <w:rFonts w:cs="Arial" w:ascii="Arial" w:hAnsi="Arial"/>
          <w:color w:val="000000"/>
          <w:lang w:eastAsia="en-US"/>
        </w:rPr>
        <w:t xml:space="preserve">            </w:t>
      </w:r>
      <w:r>
        <w:rPr>
          <w:rFonts w:cs="Arial" w:ascii="Arial" w:hAnsi="Arial"/>
          <w:color w:val="000000"/>
          <w:lang w:eastAsia="en-US"/>
        </w:rPr>
        <w:t xml:space="preserve">Изготвя се списък на трудовите дейности, като се обединяват работните места и/или обекти по признак - еднакви вредности.      </w:t>
      </w:r>
      <w:r>
        <w:rPr>
          <w:rFonts w:cs="Arial" w:ascii="Arial" w:hAnsi="Arial"/>
          <w:color w:val="FF0000"/>
          <w:lang w:eastAsia="en-US"/>
        </w:rPr>
        <w:t xml:space="preserve">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-180"/>
        <w:jc w:val="both"/>
        <w:rPr/>
      </w:pPr>
      <w:r>
        <w:rPr>
          <w:rFonts w:cs="Arial" w:ascii="Arial" w:hAnsi="Arial"/>
          <w:color w:val="FF0000"/>
          <w:lang w:eastAsia="en-US"/>
        </w:rPr>
        <w:t xml:space="preserve">  </w:t>
      </w:r>
      <w:r>
        <w:rPr>
          <w:rFonts w:cs="Arial" w:ascii="Arial" w:hAnsi="Arial"/>
          <w:color w:val="000000"/>
          <w:lang w:eastAsia="en-US"/>
        </w:rPr>
        <w:tab/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start="300" w:end="-180"/>
        <w:rPr>
          <w:rFonts w:ascii="Arial" w:hAnsi="Arial" w:cs="Arial"/>
          <w:b/>
          <w:color w:val="000000"/>
          <w:lang w:eastAsia="en-US"/>
        </w:rPr>
      </w:pPr>
      <w:r>
        <w:rPr>
          <w:rFonts w:cs="Arial" w:ascii="Arial" w:hAnsi="Arial"/>
          <w:b/>
          <w:color w:val="000000"/>
          <w:lang w:eastAsia="en-US"/>
        </w:rPr>
        <w:t xml:space="preserve">       </w:t>
      </w:r>
      <w:r>
        <w:rPr>
          <w:rFonts w:cs="Arial" w:ascii="Arial" w:hAnsi="Arial"/>
          <w:b/>
          <w:color w:val="000000"/>
          <w:lang w:eastAsia="en-US"/>
        </w:rPr>
        <w:t>4.4.Идентифициране на опасностите</w:t>
      </w:r>
    </w:p>
    <w:p>
      <w:pPr>
        <w:pStyle w:val="BodyText"/>
        <w:ind w:end="-18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     </w:t>
      </w:r>
    </w:p>
    <w:p>
      <w:pPr>
        <w:pStyle w:val="BodyText"/>
        <w:ind w:firstLine="708" w:end="-18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4.4.1.Дейностите по определяне на опасностите и оценка на риска се планират  чрез разработване на Програма за оценка на риска. Тази Програма съдържа данни за:</w:t>
      </w:r>
    </w:p>
    <w:p>
      <w:pPr>
        <w:pStyle w:val="BodyText"/>
        <w:ind w:start="360" w:end="-18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- организирането и координирането на дейностите по оценка на риска;</w:t>
      </w:r>
    </w:p>
    <w:p>
      <w:pPr>
        <w:pStyle w:val="BodyText"/>
        <w:ind w:start="360" w:end="-18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- етапите, последователността и сроковете за оценяване на риска;</w:t>
      </w:r>
    </w:p>
    <w:p>
      <w:pPr>
        <w:pStyle w:val="BodyText"/>
        <w:ind w:start="360" w:end="-18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- обхвата на оценката на риска;</w:t>
      </w:r>
    </w:p>
    <w:p>
      <w:pPr>
        <w:pStyle w:val="BodyText"/>
        <w:ind w:start="360" w:end="-18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 xml:space="preserve">- правомощията и отговорностите на длъжностните лица, участващи в оценката на риска; </w:t>
      </w:r>
    </w:p>
    <w:p>
      <w:pPr>
        <w:pStyle w:val="BodyText"/>
        <w:ind w:start="360" w:end="-18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- необходимата информация и начините за нейното осигуряване;</w:t>
      </w:r>
    </w:p>
    <w:p>
      <w:pPr>
        <w:pStyle w:val="BodyText"/>
        <w:ind w:start="360" w:end="-18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>- ресурсите, необходими за оценяване на риска;</w:t>
      </w:r>
    </w:p>
    <w:p>
      <w:pPr>
        <w:pStyle w:val="BodyText"/>
        <w:ind w:end="-85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   </w:t>
      </w:r>
    </w:p>
    <w:p>
      <w:pPr>
        <w:pStyle w:val="BodyText"/>
        <w:ind w:firstLine="708" w:end="-85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4.4.2.Идентифициране на опасностите включва: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" w:hAnsi="Arial"/>
          <w:color w:val="000000"/>
          <w:lang w:eastAsia="en-US"/>
        </w:rPr>
        <w:t xml:space="preserve">          </w:t>
      </w:r>
      <w:r>
        <w:rPr>
          <w:rFonts w:cs="Arial" w:ascii="Arial" w:hAnsi="Arial"/>
          <w:b/>
          <w:color w:val="000000"/>
          <w:lang w:eastAsia="en-US"/>
        </w:rPr>
        <w:t xml:space="preserve">-установяване на: </w:t>
      </w:r>
      <w:r>
        <w:rPr>
          <w:rFonts w:cs="Arial" w:ascii="Arial" w:hAnsi="Arial"/>
          <w:color w:val="000000"/>
          <w:lang w:eastAsia="en-US"/>
        </w:rPr>
        <w:t>наличие на опасности и сравнителен анализ на опасностите по приоритети; възможни пътища и начини за въздействие на опасностите; обекти, които могат да бъдат увредени- хора, имущество, работна среда;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" w:hAnsi="Arial"/>
          <w:b/>
          <w:color w:val="000000"/>
          <w:lang w:eastAsia="en-US"/>
        </w:rPr>
        <w:t xml:space="preserve">         </w:t>
      </w:r>
      <w:r>
        <w:rPr>
          <w:rFonts w:cs="Arial" w:ascii="Arial" w:hAnsi="Arial"/>
          <w:b/>
          <w:color w:val="000000"/>
          <w:lang w:eastAsia="en-US"/>
        </w:rPr>
        <w:t xml:space="preserve">-систематично проучване на всички аспекти на дейността: </w:t>
      </w:r>
      <w:r>
        <w:rPr>
          <w:rFonts w:cs="Arial" w:ascii="Arial" w:hAnsi="Arial"/>
          <w:color w:val="000000"/>
          <w:lang w:eastAsia="en-US"/>
        </w:rPr>
        <w:t>анализиране на всички дейности, които се извършват на оценявания обект; отчитане на необичайни операции по време на работа; отчитане на непланирани, но предвидими събития; отчитане възможността за възникване на инцидент; анализ на разпоредбите за осигуряване на здравословни и безопасни условия на труд и на приложените предпазни мерки;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" w:hAnsi="Arial"/>
          <w:color w:val="000000"/>
          <w:lang w:eastAsia="en-US"/>
        </w:rPr>
        <w:t xml:space="preserve">         </w:t>
      </w:r>
      <w:r>
        <w:rPr>
          <w:rFonts w:cs="Arial" w:ascii="Arial" w:hAnsi="Arial"/>
          <w:b/>
          <w:color w:val="000000"/>
          <w:lang w:eastAsia="en-US"/>
        </w:rPr>
        <w:t xml:space="preserve"> </w:t>
      </w:r>
      <w:r>
        <w:rPr>
          <w:rFonts w:cs="Arial" w:ascii="Arial" w:hAnsi="Arial"/>
          <w:b/>
          <w:color w:val="000000"/>
          <w:lang w:eastAsia="en-US"/>
        </w:rPr>
        <w:t>-отчитане на тези аспекти на дейността, които могат да причинят вреди;</w:t>
      </w:r>
    </w:p>
    <w:p>
      <w:pPr>
        <w:pStyle w:val="Normal"/>
        <w:tabs>
          <w:tab w:val="clear" w:pos="708"/>
          <w:tab w:val="left" w:pos="-720" w:leader="none"/>
          <w:tab w:val="left" w:pos="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" w:hAnsi="Arial"/>
          <w:b/>
          <w:color w:val="000000"/>
          <w:lang w:eastAsia="en-US"/>
        </w:rPr>
        <w:t xml:space="preserve">          </w:t>
      </w:r>
      <w:r>
        <w:rPr>
          <w:rFonts w:cs="Arial" w:ascii="Arial" w:hAnsi="Arial"/>
          <w:b/>
          <w:color w:val="000000"/>
          <w:lang w:eastAsia="en-US"/>
        </w:rPr>
        <w:t>-отчитане</w:t>
      </w:r>
      <w:r>
        <w:rPr>
          <w:rFonts w:cs="Arial" w:ascii="Arial" w:hAnsi="Arial"/>
          <w:color w:val="000000"/>
          <w:lang w:eastAsia="en-US"/>
        </w:rPr>
        <w:t xml:space="preserve"> не само на опасностите, но и начина на взаимодействие на работниците с опасностите и как това изменя риска.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 xml:space="preserve">        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 xml:space="preserve">         </w:t>
      </w:r>
      <w:r>
        <w:rPr>
          <w:rFonts w:cs="Arial" w:ascii="Arial" w:hAnsi="Arial"/>
          <w:color w:val="000000"/>
          <w:lang w:eastAsia="en-US"/>
        </w:rPr>
        <w:t>4.4.3. Определяне на изложените на опасности работници, служители и външни лица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" w:hAnsi="Arial"/>
          <w:b/>
          <w:color w:val="000000"/>
          <w:lang w:eastAsia="en-US"/>
        </w:rPr>
        <w:t xml:space="preserve">        </w:t>
      </w:r>
      <w:r>
        <w:rPr>
          <w:rFonts w:cs="Arial" w:ascii="Arial" w:hAnsi="Arial"/>
          <w:color w:val="000000"/>
          <w:lang w:eastAsia="en-US"/>
        </w:rPr>
        <w:t xml:space="preserve"> </w:t>
      </w:r>
      <w:r>
        <w:rPr>
          <w:rFonts w:cs="Arial" w:ascii="Arial" w:hAnsi="Arial"/>
          <w:color w:val="000000"/>
          <w:lang w:eastAsia="en-US"/>
        </w:rPr>
        <w:t>При определяне на изложените на опасности работници, служители и външни лица се отчитат: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 xml:space="preserve">           </w:t>
      </w:r>
      <w:r>
        <w:rPr>
          <w:rFonts w:cs="Arial" w:ascii="Arial" w:hAnsi="Arial"/>
          <w:color w:val="000000"/>
          <w:lang w:eastAsia="en-US"/>
        </w:rPr>
        <w:t>-работниците и служителите, чиято дейност е пряко свързана с опасността;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 xml:space="preserve">           </w:t>
      </w:r>
      <w:r>
        <w:rPr>
          <w:rFonts w:cs="Arial" w:ascii="Arial" w:hAnsi="Arial"/>
          <w:color w:val="000000"/>
          <w:lang w:eastAsia="en-US"/>
        </w:rPr>
        <w:t>-работниците и служителите, чиято дейност не е свързана с опасността, но могат да бъдат изложени на нейното въздействие;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ab/>
        <w:t xml:space="preserve">           -подизпълнители, наети по договор за изпълнение на обект или на определен обем работа;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firstLine="180" w:end="-18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 xml:space="preserve">       </w:t>
      </w:r>
      <w:r>
        <w:rPr>
          <w:rFonts w:cs="Arial" w:ascii="Arial" w:hAnsi="Arial"/>
          <w:color w:val="000000"/>
          <w:lang w:eastAsia="en-US"/>
        </w:rPr>
        <w:t>-външни лица, които могат да бъдат изложени на въздействието на опасността;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" w:hAnsi="Arial"/>
          <w:color w:val="000000"/>
          <w:lang w:eastAsia="en-US"/>
        </w:rPr>
        <w:t xml:space="preserve">           </w:t>
      </w:r>
      <w:r>
        <w:rPr>
          <w:rFonts w:cs="Arial" w:ascii="Arial" w:hAnsi="Arial"/>
          <w:color w:val="000000"/>
          <w:lang w:eastAsia="en-US"/>
        </w:rPr>
        <w:t>-работниците и служителите, които се нуждаят от специална закрила: бременни и кърмещи работнички, лица ненавършили 18 г., лица с ограничена трудоспособност.</w:t>
      </w:r>
    </w:p>
    <w:p>
      <w:pPr>
        <w:pStyle w:val="BodyText"/>
        <w:ind w:end="-180"/>
        <w:jc w:val="both"/>
        <w:rPr>
          <w:rFonts w:cs="Arial"/>
          <w:color w:val="000000"/>
          <w:sz w:val="24"/>
          <w:szCs w:val="24"/>
        </w:rPr>
      </w:pPr>
      <w:r>
        <w:rPr>
          <w:rFonts w:cs="Arial"/>
          <w:color w:val="000000"/>
          <w:sz w:val="24"/>
          <w:szCs w:val="24"/>
        </w:rPr>
        <w:t xml:space="preserve">         </w:t>
      </w:r>
    </w:p>
    <w:p>
      <w:pPr>
        <w:pStyle w:val="BodyText"/>
        <w:ind w:end="-180"/>
        <w:jc w:val="both"/>
        <w:rPr/>
      </w:pPr>
      <w:r>
        <w:rPr>
          <w:rFonts w:cs="Arial"/>
          <w:color w:val="000000"/>
          <w:sz w:val="24"/>
          <w:szCs w:val="24"/>
        </w:rPr>
        <w:t xml:space="preserve">           </w:t>
      </w:r>
      <w:r>
        <w:rPr>
          <w:rFonts w:cs="Arial"/>
          <w:color w:val="000000"/>
          <w:sz w:val="24"/>
          <w:szCs w:val="24"/>
        </w:rPr>
        <w:t>4.4.4</w:t>
      </w:r>
      <w:r>
        <w:rPr>
          <w:rFonts w:cs="Arial"/>
          <w:sz w:val="24"/>
          <w:szCs w:val="24"/>
        </w:rPr>
        <w:t>.Определяне на опасностите се извършва чрез:</w:t>
      </w:r>
    </w:p>
    <w:p>
      <w:pPr>
        <w:pStyle w:val="BodyText"/>
        <w:ind w:end="-18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   </w:t>
      </w:r>
      <w:r>
        <w:rPr>
          <w:rFonts w:cs="Arial"/>
          <w:sz w:val="24"/>
          <w:szCs w:val="24"/>
        </w:rPr>
        <w:t>-анализ на болничните листове, постъпили през периода след изготвяне на последната оценка;</w:t>
      </w:r>
    </w:p>
    <w:p>
      <w:pPr>
        <w:pStyle w:val="BodyText"/>
        <w:ind w:end="-180"/>
        <w:jc w:val="both"/>
        <w:rPr/>
      </w:pPr>
      <w:r>
        <w:rPr>
          <w:rFonts w:cs="Arial"/>
          <w:sz w:val="24"/>
          <w:szCs w:val="24"/>
        </w:rPr>
        <w:t xml:space="preserve">        </w:t>
      </w:r>
      <w:r>
        <w:rPr>
          <w:rFonts w:cs="Arial"/>
          <w:sz w:val="24"/>
          <w:szCs w:val="24"/>
        </w:rPr>
        <w:t xml:space="preserve">-проучване на всяко работно място, характерно за </w:t>
      </w:r>
      <w:r>
        <w:rPr>
          <w:rFonts w:cs="Arial"/>
          <w:color w:val="000000"/>
          <w:sz w:val="24"/>
          <w:szCs w:val="24"/>
        </w:rPr>
        <w:t>СМП ПЛЕВЕН ЕООД</w:t>
      </w:r>
      <w:r>
        <w:rPr>
          <w:rFonts w:cs="Arial"/>
          <w:sz w:val="24"/>
          <w:szCs w:val="24"/>
        </w:rPr>
        <w:t xml:space="preserve">; </w:t>
      </w:r>
    </w:p>
    <w:p>
      <w:pPr>
        <w:pStyle w:val="BodyText"/>
        <w:ind w:end="-18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  </w:t>
      </w:r>
      <w:r>
        <w:rPr>
          <w:rFonts w:cs="Arial"/>
          <w:sz w:val="24"/>
          <w:szCs w:val="24"/>
        </w:rPr>
        <w:t>-определяне на работните операции и други фактори на работното място, които могат да бъдат източник на опасност за здравето и безопасността на работниците, подизпълнителите и външни лица;</w:t>
      </w:r>
    </w:p>
    <w:p>
      <w:pPr>
        <w:pStyle w:val="BodyText"/>
        <w:ind w:end="-18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 </w:t>
      </w:r>
      <w:r>
        <w:rPr>
          <w:rFonts w:cs="Arial"/>
          <w:sz w:val="24"/>
          <w:szCs w:val="24"/>
        </w:rPr>
        <w:t>-извършване на замервания на факторите на околната среда - източник на опасността;</w:t>
      </w:r>
    </w:p>
    <w:p>
      <w:pPr>
        <w:pStyle w:val="BodyText"/>
        <w:ind w:end="-18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 </w:t>
      </w:r>
      <w:r>
        <w:rPr>
          <w:rFonts w:cs="Arial"/>
          <w:sz w:val="24"/>
          <w:szCs w:val="24"/>
        </w:rPr>
        <w:t>-определяне времетраенето на въздействието на опасността;</w:t>
      </w:r>
    </w:p>
    <w:p>
      <w:pPr>
        <w:pStyle w:val="BodyText"/>
        <w:ind w:end="-18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 </w:t>
      </w:r>
      <w:r>
        <w:rPr>
          <w:rFonts w:cs="Arial"/>
          <w:sz w:val="24"/>
          <w:szCs w:val="24"/>
        </w:rPr>
        <w:t>-определяне на вероятността от възникване на аварии;</w:t>
      </w:r>
    </w:p>
    <w:p>
      <w:pPr>
        <w:pStyle w:val="BodyText"/>
        <w:ind w:end="-18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 </w:t>
      </w:r>
      <w:r>
        <w:rPr>
          <w:rFonts w:cs="Arial"/>
          <w:sz w:val="24"/>
          <w:szCs w:val="24"/>
        </w:rPr>
        <w:t>-анкетиране на работниците/посетителите;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</w:t>
      </w:r>
      <w:r>
        <w:rPr>
          <w:rFonts w:cs="Arial" w:ascii="Arial" w:hAnsi="Arial"/>
          <w:lang w:eastAsia="en-US"/>
        </w:rPr>
        <w:t>-анализ на информацията за регистрирани опасности и инциденти.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0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ab/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0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start="300" w:end="-850"/>
        <w:rPr>
          <w:rFonts w:ascii="Arial" w:hAnsi="Arial" w:cs="Arial"/>
          <w:b/>
          <w:color w:val="000000"/>
          <w:lang w:eastAsia="en-US"/>
        </w:rPr>
      </w:pPr>
      <w:r>
        <w:rPr>
          <w:rFonts w:cs="Arial" w:ascii="Arial" w:hAnsi="Arial"/>
          <w:b/>
          <w:color w:val="000000"/>
          <w:lang w:eastAsia="en-US"/>
        </w:rPr>
        <w:t xml:space="preserve">     </w:t>
      </w:r>
      <w:r>
        <w:rPr>
          <w:rFonts w:cs="Arial" w:ascii="Arial" w:hAnsi="Arial"/>
          <w:b/>
          <w:lang w:eastAsia="en-US"/>
        </w:rPr>
        <w:t xml:space="preserve"> </w:t>
      </w:r>
      <w:r>
        <w:rPr>
          <w:rFonts w:cs="Arial" w:ascii="Arial" w:hAnsi="Arial"/>
          <w:b/>
          <w:lang w:eastAsia="en-US"/>
        </w:rPr>
        <w:t>4.5. Оценяване на риска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850"/>
        <w:rPr>
          <w:rFonts w:ascii="Arial" w:hAnsi="Arial" w:cs="Arial"/>
          <w:b/>
          <w:lang w:eastAsia="en-US"/>
        </w:rPr>
      </w:pPr>
      <w:r>
        <w:rPr>
          <w:rFonts w:cs="Arial" w:ascii="Arial" w:hAnsi="Arial"/>
          <w:b/>
          <w:lang w:eastAsia="en-US"/>
        </w:rPr>
        <w:t xml:space="preserve">          </w:t>
      </w:r>
    </w:p>
    <w:p>
      <w:pPr>
        <w:pStyle w:val="Normal"/>
        <w:tabs>
          <w:tab w:val="clear" w:pos="708"/>
          <w:tab w:val="left" w:pos="-720" w:leader="none"/>
        </w:tabs>
        <w:ind w:hanging="16" w:end="-284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lang w:eastAsia="en-US"/>
        </w:rPr>
        <w:t xml:space="preserve">        </w:t>
      </w:r>
      <w:r>
        <w:rPr>
          <w:rFonts w:cs="Arial" w:ascii="Arial" w:hAnsi="Arial"/>
          <w:lang w:eastAsia="en-US"/>
        </w:rPr>
        <w:t xml:space="preserve">4.5.1.Оценяването на риска в </w:t>
      </w:r>
      <w:r>
        <w:rPr>
          <w:rFonts w:cs="Arial" w:ascii="Arial" w:hAnsi="Arial"/>
          <w:color w:val="000000"/>
          <w:lang w:eastAsia="en-US"/>
        </w:rPr>
        <w:t>СМП ПЛЕВЕН ЕООД</w:t>
      </w:r>
      <w:r>
        <w:rPr>
          <w:rFonts w:cs="Arial" w:ascii="Arial" w:hAnsi="Arial"/>
          <w:lang w:eastAsia="en-US"/>
        </w:rPr>
        <w:t xml:space="preserve"> включва  оценяване на риска по работни места.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</w:t>
      </w:r>
      <w:r>
        <w:rPr>
          <w:rFonts w:cs="Arial" w:ascii="Arial" w:hAnsi="Arial"/>
          <w:lang w:eastAsia="en-US"/>
        </w:rPr>
        <w:t>4.5.2.Етапи за оценяване на риска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jc w:val="both"/>
        <w:rPr/>
      </w:pPr>
      <w:r>
        <w:rPr/>
        <w:tab/>
        <w:tab/>
        <w:t xml:space="preserve">     </w:t>
      </w:r>
    </w:p>
    <w:tbl>
      <w:tblPr>
        <w:tblW w:w="336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69"/>
      </w:tblGrid>
      <w:tr>
        <w:trPr/>
        <w:tc>
          <w:tcPr>
            <w:tcW w:w="3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" w:hAnsi="Arial" w:cs="Arial"/>
                <w:color w:val="000000"/>
                <w:lang w:eastAsia="en-US"/>
              </w:rPr>
            </w:pPr>
            <w:r>
              <w:rPr>
                <w:rFonts w:cs="Arial" w:ascii="Arial" w:hAnsi="Arial"/>
                <w:color w:val="000000"/>
                <w:lang w:eastAsia="en-US"/>
              </w:rPr>
              <w:t xml:space="preserve">               № </w:t>
            </w:r>
            <w:r>
              <w:rPr>
                <w:rFonts w:cs="Arial" w:ascii="Arial" w:hAnsi="Arial"/>
                <w:color w:val="000000"/>
                <w:lang w:eastAsia="en-US"/>
              </w:rPr>
              <w:t>1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-108"/>
              <w:rPr>
                <w:rFonts w:ascii="Arial" w:hAnsi="Arial" w:cs="Arial"/>
                <w:color w:val="000000"/>
                <w:lang w:eastAsia="en-US"/>
              </w:rPr>
            </w:pPr>
            <w:r>
              <w:rPr>
                <w:rFonts w:cs="Arial" w:ascii="Arial" w:hAnsi="Arial"/>
                <w:color w:val="000000"/>
                <w:lang w:eastAsia="en-US"/>
              </w:rPr>
              <w:t xml:space="preserve">Определяне на оценка на риска 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-108"/>
              <w:rPr>
                <w:rFonts w:ascii="Arial" w:hAnsi="Arial" w:cs="Arial"/>
                <w:color w:val="000000"/>
                <w:lang w:eastAsia="en-US"/>
              </w:rPr>
            </w:pPr>
            <w:r>
              <w:rPr>
                <w:rFonts w:cs="Arial" w:ascii="Arial" w:hAnsi="Arial"/>
                <w:color w:val="000000"/>
                <w:lang w:eastAsia="en-US"/>
              </w:rPr>
              <w:t>- по работни места и обекти;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751205</wp:posOffset>
                </wp:positionH>
                <wp:positionV relativeFrom="paragraph">
                  <wp:posOffset>57785</wp:posOffset>
                </wp:positionV>
                <wp:extent cx="0" cy="0"/>
                <wp:effectExtent l="5080" t="5080" r="508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.15pt,4.55pt" to="59.15pt,4.5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line">
                  <wp:posOffset>8255</wp:posOffset>
                </wp:positionV>
                <wp:extent cx="0" cy="187325"/>
                <wp:effectExtent l="38100" t="0" r="3810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72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-0.65pt" to="72pt,14.0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tbl>
      <w:tblPr>
        <w:tblW w:w="336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69"/>
      </w:tblGrid>
      <w:tr>
        <w:trPr/>
        <w:tc>
          <w:tcPr>
            <w:tcW w:w="3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" w:hAnsi="Arial" w:cs="Arial"/>
                <w:color w:val="000000"/>
                <w:lang w:eastAsia="en-US"/>
              </w:rPr>
            </w:pPr>
            <w:r>
              <w:rPr>
                <w:rFonts w:cs="Arial" w:ascii="Arial" w:hAnsi="Arial"/>
                <w:color w:val="000000"/>
                <w:lang w:eastAsia="en-US"/>
              </w:rPr>
              <w:t xml:space="preserve">               № </w:t>
            </w:r>
            <w:r>
              <w:rPr>
                <w:rFonts w:cs="Arial" w:ascii="Arial" w:hAnsi="Arial"/>
                <w:color w:val="000000"/>
                <w:lang w:eastAsia="en-US"/>
              </w:rPr>
              <w:t>2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rPr>
                <w:rFonts w:ascii="Arial" w:hAnsi="Arial" w:cs="Arial"/>
                <w:lang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360045</wp:posOffset>
                      </wp:positionV>
                      <wp:extent cx="0" cy="179705"/>
                      <wp:effectExtent l="38100" t="0" r="38100" b="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17964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6.6pt,28.35pt" to="66.6pt,42.45pt" stroked="t" o:allowincell="t" style="position:absolute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color w:val="000000"/>
                <w:lang w:eastAsia="en-US"/>
              </w:rPr>
              <w:t>Идентифициране на опасностите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/>
      </w:pPr>
      <w:r>
        <w:rPr/>
        <w:t xml:space="preserve">                                                      </w:t>
      </w:r>
    </w:p>
    <w:tbl>
      <w:tblPr>
        <w:tblW w:w="326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61"/>
      </w:tblGrid>
      <w:tr>
        <w:trPr/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" w:hAnsi="Arial" w:cs="Arial"/>
                <w:color w:val="000000"/>
                <w:lang w:eastAsia="en-US"/>
              </w:rPr>
            </w:pPr>
            <w:r>
              <w:rPr>
                <w:rFonts w:cs="Arial" w:ascii="Arial" w:hAnsi="Arial"/>
                <w:color w:val="000000"/>
                <w:lang w:eastAsia="en-US"/>
              </w:rPr>
              <w:t xml:space="preserve">               № </w:t>
            </w:r>
            <w:r>
              <w:rPr>
                <w:rFonts w:cs="Arial" w:ascii="Arial" w:hAnsi="Arial"/>
                <w:color w:val="000000"/>
                <w:lang w:eastAsia="en-US"/>
              </w:rPr>
              <w:t>3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rPr/>
            </w:pPr>
            <w:r>
              <w:rPr>
                <w:rFonts w:cs="Arial" w:ascii="Arial" w:hAnsi="Arial"/>
                <w:color w:val="000000"/>
                <w:lang w:eastAsia="en-US"/>
              </w:rPr>
              <w:t xml:space="preserve">Определяне на риска от идентифицирана опасност и възможната вреда върху здравето и безопасността на работещите 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/>
      </w:pP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635</wp:posOffset>
                </wp:positionV>
                <wp:extent cx="0" cy="179705"/>
                <wp:effectExtent l="38100" t="0" r="3810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96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0pt" to="72pt,14.1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/>
        <w:t xml:space="preserve">                                                                            </w:t>
      </w:r>
    </w:p>
    <w:tbl>
      <w:tblPr>
        <w:tblW w:w="487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77"/>
      </w:tblGrid>
      <w:tr>
        <w:trPr>
          <w:trHeight w:val="1871" w:hRule="atLeast"/>
        </w:trPr>
        <w:tc>
          <w:tcPr>
            <w:tcW w:w="4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" w:hAnsi="Arial" w:cs="Arial"/>
                <w:color w:val="000000"/>
                <w:lang w:eastAsia="en-US"/>
              </w:rPr>
            </w:pPr>
            <w:r>
              <w:rPr>
                <w:rFonts w:cs="Arial" w:ascii="Arial" w:hAnsi="Arial"/>
                <w:color w:val="000000"/>
                <w:lang w:eastAsia="en-US"/>
              </w:rPr>
              <w:t xml:space="preserve">               № </w:t>
            </w:r>
            <w:r>
              <w:rPr>
                <w:rFonts w:cs="Arial" w:ascii="Arial" w:hAnsi="Arial"/>
                <w:color w:val="000000"/>
                <w:lang w:eastAsia="en-US"/>
              </w:rPr>
              <w:t>4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" w:hAnsi="Arial" w:cs="Arial"/>
                <w:color w:val="000000"/>
                <w:lang w:eastAsia="en-US"/>
              </w:rPr>
            </w:pPr>
            <w:r>
              <w:rPr>
                <w:rFonts w:cs="Arial" w:ascii="Arial" w:hAnsi="Arial"/>
                <w:color w:val="000000"/>
                <w:lang w:eastAsia="en-US"/>
              </w:rPr>
              <w:t>Количествено изражение на :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rPr/>
            </w:pPr>
            <w:r>
              <w:rPr>
                <w:rFonts w:cs="Arial" w:ascii="Arial" w:hAnsi="Arial"/>
                <w:color w:val="000000"/>
                <w:lang w:eastAsia="en-US"/>
              </w:rPr>
              <w:t xml:space="preserve">- вероятността от възникване на вредата </w:t>
            </w:r>
            <w:r>
              <w:rPr>
                <w:rFonts w:cs="Arial" w:ascii="Arial" w:hAnsi="Arial"/>
                <w:lang w:eastAsia="en-US"/>
              </w:rPr>
              <w:t>(В);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rPr>
                <w:rFonts w:ascii="Arial" w:hAnsi="Arial" w:cs="Arial"/>
                <w:color w:val="000000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- честота на излагане/ експозиция (Е);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rPr/>
            </w:pPr>
            <w:r>
              <w:rPr>
                <w:rFonts w:cs="Arial" w:ascii="Arial" w:hAnsi="Arial"/>
                <w:color w:val="000000"/>
                <w:lang w:eastAsia="en-US"/>
              </w:rPr>
              <w:t>-</w:t>
            </w:r>
            <w:r>
              <w:rPr>
                <w:rFonts w:cs="Arial" w:ascii="Arial" w:hAnsi="Arial"/>
                <w:lang w:eastAsia="en-US"/>
              </w:rPr>
              <w:t xml:space="preserve"> последици (вреди) (П).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/>
      </w:pPr>
      <w: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8255</wp:posOffset>
                </wp:positionV>
                <wp:extent cx="0" cy="179705"/>
                <wp:effectExtent l="38100" t="0" r="38100" b="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96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0.65pt" to="72pt,14.7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/>
        <w:t xml:space="preserve">                                                                                                                                                                          </w:t>
      </w:r>
    </w:p>
    <w:tbl>
      <w:tblPr>
        <w:tblW w:w="326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61"/>
      </w:tblGrid>
      <w:tr>
        <w:trPr>
          <w:trHeight w:val="601" w:hRule="atLeas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" w:hAnsi="Arial" w:cs="Arial"/>
                <w:color w:val="000000"/>
                <w:lang w:eastAsia="en-US"/>
              </w:rPr>
            </w:pPr>
            <w:r>
              <w:rPr>
                <w:rFonts w:cs="Arial" w:ascii="Arial" w:hAnsi="Arial"/>
                <w:color w:val="000000"/>
                <w:lang w:eastAsia="en-US"/>
              </w:rPr>
              <w:t xml:space="preserve">               № </w:t>
            </w:r>
            <w:r>
              <w:rPr>
                <w:rFonts w:cs="Arial" w:ascii="Arial" w:hAnsi="Arial"/>
                <w:color w:val="000000"/>
                <w:lang w:eastAsia="en-US"/>
              </w:rPr>
              <w:t>5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-108"/>
              <w:rPr>
                <w:rFonts w:ascii="Arial" w:hAnsi="Arial" w:cs="Arial"/>
                <w:color w:val="000000"/>
                <w:lang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208915</wp:posOffset>
                      </wp:positionV>
                      <wp:extent cx="0" cy="228600"/>
                      <wp:effectExtent l="38100" t="0" r="38100" b="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6.6pt,16.45pt" to="66.6pt,34.4pt" stroked="t" o:allowincell="t" style="position:absolute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color w:val="000000"/>
                <w:lang w:eastAsia="en-US"/>
              </w:rPr>
              <w:t xml:space="preserve">    </w:t>
            </w:r>
            <w:r>
              <w:rPr>
                <w:rFonts w:cs="Arial" w:ascii="Arial" w:hAnsi="Arial"/>
                <w:color w:val="000000"/>
                <w:lang w:eastAsia="en-US"/>
              </w:rPr>
              <w:t xml:space="preserve">Карти за оценка на риска 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283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tbl>
      <w:tblPr>
        <w:tblW w:w="326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61"/>
      </w:tblGrid>
      <w:tr>
        <w:trPr>
          <w:trHeight w:val="854" w:hRule="atLeas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" w:hAnsi="Arial" w:cs="Arial"/>
                <w:color w:val="000000"/>
                <w:lang w:eastAsia="en-US"/>
              </w:rPr>
            </w:pPr>
            <w:r>
              <w:rPr>
                <w:rFonts w:cs="Arial" w:ascii="Arial" w:hAnsi="Arial"/>
                <w:color w:val="000000"/>
                <w:lang w:eastAsia="en-US"/>
              </w:rPr>
              <w:t xml:space="preserve">               № </w:t>
            </w:r>
            <w:r>
              <w:rPr>
                <w:rFonts w:cs="Arial" w:ascii="Arial" w:hAnsi="Arial"/>
                <w:color w:val="000000"/>
                <w:lang w:eastAsia="en-US"/>
              </w:rPr>
              <w:t>6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М</w:t>
            </w:r>
            <w:r>
              <w:rPr>
                <w:rFonts w:cs="Arial" w:ascii="Arial" w:hAnsi="Arial"/>
                <w:color w:val="000000"/>
                <w:lang w:eastAsia="en-US"/>
              </w:rPr>
              <w:t>ерки за ликвидиране или намаляване на риска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283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283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283"/>
        <w:jc w:val="both"/>
        <w:rPr/>
      </w:pPr>
      <w:r>
        <w:rPr>
          <w:rFonts w:cs="Arial" w:ascii="Arial" w:hAnsi="Arial"/>
          <w:color w:val="000000"/>
          <w:lang w:eastAsia="en-US"/>
        </w:rPr>
        <w:t xml:space="preserve">  </w:t>
      </w:r>
      <w:r>
        <w:rPr>
          <w:rFonts w:cs="Arial" w:ascii="Arial" w:hAnsi="Arial"/>
          <w:lang w:eastAsia="en-US"/>
        </w:rPr>
        <w:t>4.5.3.</w:t>
      </w:r>
      <w:r>
        <w:rPr>
          <w:rFonts w:cs="Arial" w:ascii="Arial" w:hAnsi="Arial"/>
          <w:color w:val="FF0000"/>
          <w:lang w:eastAsia="en-US"/>
        </w:rPr>
        <w:t xml:space="preserve"> </w:t>
      </w:r>
      <w:r>
        <w:rPr>
          <w:rFonts w:cs="Arial" w:ascii="Arial" w:hAnsi="Arial"/>
          <w:lang w:eastAsia="en-US"/>
        </w:rPr>
        <w:t xml:space="preserve">За всяка идентифицирана опасност се определят елементите на риска, които тя създава: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ab/>
        <w:t xml:space="preserve">            - вероятност  (В) 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     </w:t>
      </w:r>
      <w:r>
        <w:rPr>
          <w:rFonts w:cs="Arial" w:ascii="Arial" w:hAnsi="Arial"/>
          <w:lang w:eastAsia="en-US"/>
        </w:rPr>
        <w:t>- честота на излагане/ експозиция (Е);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     </w:t>
      </w:r>
      <w:r>
        <w:rPr>
          <w:rFonts w:cs="Arial" w:ascii="Arial" w:hAnsi="Arial"/>
          <w:lang w:eastAsia="en-US"/>
        </w:rPr>
        <w:t xml:space="preserve">- последици (тежестта на вредата) (П).      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</w:t>
      </w:r>
    </w:p>
    <w:p>
      <w:pPr>
        <w:pStyle w:val="BodyText2"/>
        <w:spacing w:lineRule="auto" w:line="264" w:before="0" w:after="100"/>
        <w:rPr/>
      </w:pPr>
      <w:r>
        <w:rPr/>
        <w:t>4.5.4. Определяне на стойностите на елементите, характеризиращи риска</w:t>
      </w:r>
    </w:p>
    <w:tbl>
      <w:tblPr>
        <w:tblW w:w="779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60"/>
        <w:gridCol w:w="2037"/>
      </w:tblGrid>
      <w:tr>
        <w:trPr>
          <w:cantSplit/>
        </w:trPr>
        <w:tc>
          <w:tcPr>
            <w:tcW w:w="7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Вероятност (В)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Едва забележима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0,1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Практически невъзможна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0,2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Малко възможна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0,5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Малко възможна, но възможна в ограничени случаи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1,0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Ниска вероятност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3,0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Напълно възможна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6,0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Относително висока вероятност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10,0</w:t>
            </w:r>
          </w:p>
        </w:tc>
      </w:tr>
    </w:tbl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tbl>
      <w:tblPr>
        <w:tblW w:w="779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60"/>
        <w:gridCol w:w="2037"/>
      </w:tblGrid>
      <w:tr>
        <w:trPr>
          <w:cantSplit/>
        </w:trPr>
        <w:tc>
          <w:tcPr>
            <w:tcW w:w="7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Честота на излагане/ експозиция (Е)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Твърде ниска (по-малка от 1 път месечно)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0,5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Много ниска ( до 1 час седмично)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1,0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Ниска (по 1 час на ден)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2,0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Средна (по 1/3 от работното време)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3,0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Достатъчно висока ( 1/2 от работното време)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6,0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Непрекъснато, през цялото работно време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10,0</w:t>
            </w:r>
          </w:p>
        </w:tc>
      </w:tr>
    </w:tbl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tbl>
      <w:tblPr>
        <w:tblW w:w="78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60"/>
        <w:gridCol w:w="3600"/>
        <w:gridCol w:w="2040"/>
      </w:tblGrid>
      <w:tr>
        <w:trPr>
          <w:cantSplit/>
        </w:trPr>
        <w:tc>
          <w:tcPr>
            <w:tcW w:w="7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Последици (тежест на вредата) (П)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Малки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 xml:space="preserve">  </w:t>
            </w:r>
            <w:r>
              <w:rPr>
                <w:rFonts w:cs="Arial" w:ascii="Arial" w:hAnsi="Arial"/>
                <w:b w:val="false"/>
              </w:rPr>
              <w:t>Нараняване без загуби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1,0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Значителни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 xml:space="preserve">  </w:t>
            </w:r>
            <w:r>
              <w:rPr>
                <w:rFonts w:cs="Arial" w:ascii="Arial" w:hAnsi="Arial"/>
                <w:b w:val="false"/>
              </w:rPr>
              <w:t>Нараняване със загуби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3,0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Сериозни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 xml:space="preserve">  </w:t>
            </w:r>
            <w:r>
              <w:rPr>
                <w:rFonts w:cs="Arial" w:ascii="Arial" w:hAnsi="Arial"/>
                <w:b w:val="false"/>
              </w:rPr>
              <w:t>Инвалидност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7,0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Опасни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 xml:space="preserve">  </w:t>
            </w:r>
            <w:r>
              <w:rPr>
                <w:rFonts w:cs="Arial" w:ascii="Arial" w:hAnsi="Arial"/>
                <w:b w:val="false"/>
              </w:rPr>
              <w:t>Един смъртен случай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15,0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Катастрофални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 xml:space="preserve">  </w:t>
            </w:r>
            <w:r>
              <w:rPr>
                <w:rFonts w:cs="Arial" w:ascii="Arial" w:hAnsi="Arial"/>
                <w:b w:val="false"/>
              </w:rPr>
              <w:t>Много смъртни случаи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40,0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283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10800" w:leader="none"/>
        </w:tabs>
        <w:ind w:hanging="16" w:end="14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  </w:t>
      </w:r>
      <w:r>
        <w:rPr>
          <w:rFonts w:cs="Arial" w:ascii="Arial" w:hAnsi="Arial"/>
          <w:lang w:eastAsia="en-US"/>
        </w:rPr>
        <w:t>Вероятността за нанасяне на вреда се преценява по: честотата, продължителността и спецификата на експозиция; вероятността от възникване на определено събитие; техническите възможности за ограничаване на/или избягване на вредата; човешките възможности за избягване или ограничаване на вредата (квалификация, опит, практически опит и умения и др.); стойности на параметрите на работната среда.</w:t>
      </w:r>
    </w:p>
    <w:p>
      <w:pPr>
        <w:pStyle w:val="Normal"/>
        <w:tabs>
          <w:tab w:val="clear" w:pos="708"/>
          <w:tab w:val="left" w:pos="-720" w:leader="none"/>
          <w:tab w:val="left" w:pos="10800" w:leader="none"/>
        </w:tabs>
        <w:ind w:hanging="16" w:end="14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  </w:t>
      </w:r>
      <w:r>
        <w:rPr>
          <w:rFonts w:cs="Arial" w:ascii="Arial" w:hAnsi="Arial"/>
          <w:lang w:eastAsia="en-US"/>
        </w:rPr>
        <w:t xml:space="preserve">При разглеждане на вероятността се вземат предвид пределно допустимите норми /ПДН/ за нормален, здрав работник-мъж в активна възраст около 30-40 години. </w:t>
      </w:r>
    </w:p>
    <w:p>
      <w:pPr>
        <w:pStyle w:val="Normal"/>
        <w:tabs>
          <w:tab w:val="clear" w:pos="708"/>
          <w:tab w:val="left" w:pos="-720" w:leader="none"/>
          <w:tab w:val="left" w:pos="10800" w:leader="none"/>
        </w:tabs>
        <w:ind w:hanging="16" w:end="14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</w:t>
      </w:r>
      <w:r>
        <w:rPr>
          <w:rFonts w:cs="Arial" w:ascii="Arial" w:hAnsi="Arial"/>
          <w:lang w:eastAsia="en-US"/>
        </w:rPr>
        <w:t>Тежестта на вредата се преценява съобразно вида на обектите, тежестта на възможните наранявания или увреждане на здравето:</w:t>
      </w:r>
    </w:p>
    <w:p>
      <w:pPr>
        <w:pStyle w:val="Normal"/>
        <w:tabs>
          <w:tab w:val="clear" w:pos="708"/>
          <w:tab w:val="left" w:pos="-720" w:leader="none"/>
          <w:tab w:val="left" w:pos="10800" w:leader="none"/>
        </w:tabs>
        <w:ind w:start="404" w:end="14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-малки-нараняване без загуби. Това са последици без сериозни загуби, наранявания, за които работникът няма да отсъства от работа;</w:t>
      </w:r>
    </w:p>
    <w:p>
      <w:pPr>
        <w:pStyle w:val="Normal"/>
        <w:tabs>
          <w:tab w:val="clear" w:pos="708"/>
          <w:tab w:val="left" w:pos="-720" w:leader="none"/>
          <w:tab w:val="left" w:pos="10800" w:leader="none"/>
        </w:tabs>
        <w:ind w:firstLine="404" w:end="14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-леки убождания, леки порезни рани, слаби охлузвания и протривания. Най-общо това са наранявания за лечението, на които не е необходима лекарска намеса;</w:t>
      </w:r>
    </w:p>
    <w:p>
      <w:pPr>
        <w:pStyle w:val="NormalWeb"/>
        <w:spacing w:before="0" w:after="0"/>
        <w:jc w:val="both"/>
        <w:rPr/>
      </w:pPr>
      <w:r>
        <w:rPr>
          <w:rFonts w:cs="Arial" w:ascii="Arial" w:hAnsi="Arial"/>
          <w:color w:val="000000"/>
          <w:lang w:val="bg-BG" w:eastAsia="en-US"/>
        </w:rPr>
        <w:t xml:space="preserve">      </w:t>
      </w:r>
      <w:r>
        <w:rPr>
          <w:rFonts w:cs="Arial" w:ascii="Arial" w:hAnsi="Arial"/>
          <w:lang w:val="bg-BG" w:eastAsia="en-US"/>
        </w:rPr>
        <w:t xml:space="preserve"> </w:t>
      </w:r>
      <w:r>
        <w:rPr>
          <w:rFonts w:cs="Arial" w:ascii="Arial" w:hAnsi="Arial"/>
          <w:lang w:val="bg-BG" w:eastAsia="en-US"/>
        </w:rPr>
        <w:t>-значителни - нараняване със загуби. Това са последици със сериозни загуби, наранявания, за които работникът ще отсъства от работа (ползване на болнични), напр. убождания, порезни рани, охлузвания и протривания, счупвания. Най-общо това са наранявания за лечението, на които е необходима лекарска намеса;</w:t>
      </w:r>
    </w:p>
    <w:p>
      <w:pPr>
        <w:pStyle w:val="NormalWeb"/>
        <w:spacing w:before="0" w:after="0"/>
        <w:jc w:val="both"/>
        <w:rPr>
          <w:rFonts w:ascii="Arial" w:hAnsi="Arial" w:cs="Arial"/>
          <w:lang w:val="bg-BG" w:eastAsia="en-US"/>
        </w:rPr>
      </w:pPr>
      <w:r>
        <w:rPr>
          <w:rFonts w:cs="Arial" w:ascii="Arial" w:hAnsi="Arial"/>
          <w:lang w:val="bg-BG" w:eastAsia="en-US"/>
        </w:rPr>
        <w:t xml:space="preserve">       </w:t>
      </w:r>
      <w:r>
        <w:rPr>
          <w:rFonts w:cs="Arial" w:ascii="Arial" w:hAnsi="Arial"/>
          <w:lang w:val="bg-BG" w:eastAsia="en-US"/>
        </w:rPr>
        <w:t xml:space="preserve">-сериозни- инвалидност. Това са сериозни последици довеждащи до инвалидност - загуби на части от тялото, крайници, значими и трайни заболявания - туберкулоза, силикоза, сериозни нарушения на слуха и т.н. </w:t>
      </w:r>
    </w:p>
    <w:p>
      <w:pPr>
        <w:pStyle w:val="NormalWeb"/>
        <w:spacing w:before="0" w:after="0"/>
        <w:jc w:val="both"/>
        <w:rPr>
          <w:rFonts w:ascii="Arial" w:hAnsi="Arial" w:cs="Arial"/>
          <w:lang w:val="bg-BG" w:eastAsia="en-US"/>
        </w:rPr>
      </w:pPr>
      <w:r>
        <w:rPr>
          <w:rFonts w:cs="Arial" w:ascii="Arial" w:hAnsi="Arial"/>
          <w:lang w:val="bg-BG" w:eastAsia="en-US"/>
        </w:rPr>
        <w:t xml:space="preserve">        </w:t>
      </w:r>
      <w:r>
        <w:rPr>
          <w:rFonts w:cs="Arial" w:ascii="Arial" w:hAnsi="Arial"/>
          <w:lang w:val="bg-BG" w:eastAsia="en-US"/>
        </w:rPr>
        <w:t>- опасни и катастрофални.</w:t>
      </w:r>
    </w:p>
    <w:p>
      <w:pPr>
        <w:pStyle w:val="NormalWeb"/>
        <w:spacing w:before="0" w:after="0"/>
        <w:jc w:val="both"/>
        <w:rPr>
          <w:rFonts w:ascii="Arial" w:hAnsi="Arial" w:cs="Arial"/>
          <w:lang w:val="bg-BG" w:eastAsia="en-US"/>
        </w:rPr>
      </w:pPr>
      <w:r>
        <w:rPr>
          <w:rFonts w:cs="Arial" w:ascii="Arial" w:hAnsi="Arial"/>
          <w:lang w:val="bg-BG"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/>
      </w:pPr>
      <w:r>
        <w:rPr>
          <w:rFonts w:cs="Arial" w:ascii="Arial" w:hAnsi="Arial"/>
          <w:lang w:eastAsia="en-US"/>
        </w:rPr>
        <w:t xml:space="preserve">          </w:t>
      </w:r>
      <w:r>
        <w:rPr>
          <w:rFonts w:cs="Arial" w:ascii="Arial" w:hAnsi="Arial"/>
          <w:lang w:eastAsia="en-US"/>
        </w:rPr>
        <w:t>4.5.5.Изчисляване на риска се извършва, съгласно</w:t>
      </w:r>
      <w:r>
        <w:rPr>
          <w:rFonts w:cs="Arial" w:ascii="Arial" w:hAnsi="Arial"/>
          <w:color w:val="FF0000"/>
          <w:lang w:eastAsia="en-US"/>
        </w:rPr>
        <w:t xml:space="preserve"> </w:t>
      </w:r>
      <w:r>
        <w:rPr>
          <w:rFonts w:cs="Arial" w:ascii="Arial" w:hAnsi="Arial"/>
          <w:lang w:eastAsia="en-US"/>
        </w:rPr>
        <w:t>белгийската практика, по</w:t>
      </w:r>
      <w:r>
        <w:rPr>
          <w:rFonts w:cs="Arial" w:ascii="Arial" w:hAnsi="Arial"/>
          <w:color w:val="FF0000"/>
          <w:lang w:eastAsia="en-US"/>
        </w:rPr>
        <w:t xml:space="preserve"> </w:t>
      </w:r>
      <w:r>
        <w:rPr>
          <w:rFonts w:cs="Arial" w:ascii="Arial" w:hAnsi="Arial"/>
          <w:lang w:eastAsia="en-US"/>
        </w:rPr>
        <w:t xml:space="preserve">следната формула:  </w:t>
      </w:r>
      <w:r>
        <w:rPr>
          <w:rFonts w:cs="Arial" w:ascii="Arial" w:hAnsi="Arial"/>
          <w:b/>
          <w:bCs/>
          <w:color w:val="000000"/>
          <w:spacing w:val="-4"/>
          <w:w w:val="136"/>
          <w:lang w:eastAsia="en-US"/>
        </w:rPr>
        <w:t xml:space="preserve">   Р = В </w:t>
      </w:r>
      <w:r>
        <w:rPr>
          <w:rFonts w:cs="Arial" w:ascii="Arial" w:hAnsi="Arial"/>
          <w:bCs/>
          <w:color w:val="000000"/>
          <w:spacing w:val="-4"/>
          <w:w w:val="136"/>
          <w:lang w:eastAsia="en-US"/>
        </w:rPr>
        <w:t xml:space="preserve">х </w:t>
      </w:r>
      <w:r>
        <w:rPr>
          <w:rFonts w:cs="Arial" w:ascii="Arial" w:hAnsi="Arial"/>
          <w:b/>
          <w:bCs/>
          <w:color w:val="000000"/>
          <w:spacing w:val="-4"/>
          <w:w w:val="136"/>
          <w:lang w:eastAsia="en-US"/>
        </w:rPr>
        <w:t xml:space="preserve">Е </w:t>
      </w:r>
      <w:r>
        <w:rPr>
          <w:rFonts w:cs="Arial" w:ascii="Arial" w:hAnsi="Arial"/>
          <w:bCs/>
          <w:color w:val="000000"/>
          <w:spacing w:val="-4"/>
          <w:w w:val="136"/>
          <w:lang w:eastAsia="en-US"/>
        </w:rPr>
        <w:t xml:space="preserve">х </w:t>
      </w:r>
      <w:r>
        <w:rPr>
          <w:rFonts w:cs="Arial" w:ascii="Arial" w:hAnsi="Arial"/>
          <w:b/>
          <w:bCs/>
          <w:color w:val="000000"/>
          <w:spacing w:val="-4"/>
          <w:w w:val="136"/>
          <w:lang w:eastAsia="en-US"/>
        </w:rPr>
        <w:t xml:space="preserve">П 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>
          <w:rFonts w:ascii="Arial" w:hAnsi="Arial" w:cs="Arial"/>
          <w:b/>
          <w:bCs/>
          <w:color w:val="FF0000"/>
          <w:spacing w:val="-4"/>
          <w:w w:val="136"/>
          <w:lang w:eastAsia="en-US"/>
        </w:rPr>
      </w:pPr>
      <w:r>
        <w:rPr>
          <w:rFonts w:cs="Arial" w:ascii="Arial" w:hAnsi="Arial"/>
          <w:b/>
          <w:bCs/>
          <w:color w:val="FF0000"/>
          <w:spacing w:val="-4"/>
          <w:w w:val="136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>
          <w:rFonts w:ascii="Arial" w:hAnsi="Arial" w:cs="Arial"/>
          <w:color w:val="FF0000"/>
          <w:lang w:eastAsia="en-US"/>
        </w:rPr>
      </w:pPr>
      <w:r>
        <w:rPr>
          <w:rFonts w:cs="Arial" w:ascii="Arial" w:hAnsi="Arial"/>
          <w:color w:val="FF0000"/>
          <w:lang w:eastAsia="en-US"/>
        </w:rPr>
        <w:tab/>
        <w:t xml:space="preserve">           </w:t>
      </w:r>
      <w:r>
        <w:rPr>
          <w:rFonts w:cs="Arial" w:ascii="Arial" w:hAnsi="Arial"/>
          <w:lang w:eastAsia="en-US"/>
        </w:rPr>
        <w:t xml:space="preserve">Където:       </w:t>
      </w:r>
      <w:r>
        <w:rPr>
          <w:rFonts w:cs="Arial" w:ascii="Arial" w:hAnsi="Arial"/>
          <w:b/>
          <w:bCs/>
          <w:color w:val="000000"/>
          <w:spacing w:val="3"/>
          <w:lang w:eastAsia="en-US"/>
        </w:rPr>
        <w:t xml:space="preserve">Р </w:t>
      </w:r>
      <w:r>
        <w:rPr>
          <w:rFonts w:cs="Arial" w:ascii="Arial" w:hAnsi="Arial"/>
          <w:color w:val="000000"/>
          <w:spacing w:val="3"/>
          <w:lang w:eastAsia="en-US"/>
        </w:rPr>
        <w:t>– риск,</w:t>
      </w:r>
    </w:p>
    <w:p>
      <w:pPr>
        <w:pStyle w:val="Normal"/>
        <w:shd w:fill="FFFFFF" w:val="clear"/>
        <w:spacing w:lineRule="exact" w:line="322"/>
        <w:ind w:firstLine="720" w:end="-811"/>
        <w:rPr>
          <w:rFonts w:ascii="Arial" w:hAnsi="Arial" w:cs="Arial"/>
          <w:color w:val="000000"/>
          <w:spacing w:val="3"/>
          <w:lang w:eastAsia="en-US"/>
        </w:rPr>
      </w:pPr>
      <w:r>
        <w:rPr>
          <w:rFonts w:cs="Arial" w:ascii="Arial" w:hAnsi="Arial"/>
          <w:b/>
          <w:color w:val="000000"/>
          <w:spacing w:val="7"/>
          <w:lang w:eastAsia="en-US"/>
        </w:rPr>
        <w:t xml:space="preserve">                  </w:t>
      </w:r>
      <w:r>
        <w:rPr>
          <w:rFonts w:cs="Arial" w:ascii="Arial" w:hAnsi="Arial"/>
          <w:b/>
          <w:color w:val="000000"/>
          <w:spacing w:val="7"/>
          <w:lang w:eastAsia="en-US"/>
        </w:rPr>
        <w:t xml:space="preserve">В </w:t>
      </w:r>
      <w:r>
        <w:rPr>
          <w:rFonts w:cs="Arial" w:ascii="Arial" w:hAnsi="Arial"/>
          <w:color w:val="000000"/>
          <w:spacing w:val="7"/>
          <w:lang w:eastAsia="en-US"/>
        </w:rPr>
        <w:t xml:space="preserve">– вероятност, </w:t>
      </w:r>
    </w:p>
    <w:p>
      <w:pPr>
        <w:pStyle w:val="Normal"/>
        <w:shd w:fill="FFFFFF" w:val="clear"/>
        <w:spacing w:lineRule="exact" w:line="322"/>
        <w:ind w:firstLine="720" w:end="-811"/>
        <w:rPr/>
      </w:pPr>
      <w:r>
        <w:rPr>
          <w:rFonts w:cs="Arial" w:ascii="Arial" w:hAnsi="Arial"/>
          <w:b/>
          <w:color w:val="000000"/>
          <w:spacing w:val="1"/>
          <w:lang w:eastAsia="en-US"/>
        </w:rPr>
        <w:t xml:space="preserve">                    </w:t>
      </w:r>
      <w:r>
        <w:rPr>
          <w:rFonts w:cs="Arial" w:ascii="Arial" w:hAnsi="Arial"/>
          <w:b/>
          <w:color w:val="000000"/>
          <w:spacing w:val="1"/>
          <w:lang w:eastAsia="en-US"/>
        </w:rPr>
        <w:t xml:space="preserve">E </w:t>
      </w:r>
      <w:r>
        <w:rPr>
          <w:rFonts w:cs="Arial" w:ascii="Arial" w:hAnsi="Arial"/>
          <w:color w:val="000000"/>
          <w:spacing w:val="1"/>
          <w:lang w:eastAsia="en-US"/>
        </w:rPr>
        <w:t xml:space="preserve">- честота на излагане/експозиция/, </w:t>
      </w:r>
    </w:p>
    <w:p>
      <w:pPr>
        <w:pStyle w:val="Normal"/>
        <w:shd w:fill="FFFFFF" w:val="clear"/>
        <w:spacing w:lineRule="exact" w:line="322"/>
        <w:ind w:firstLine="720" w:end="-811"/>
        <w:rPr/>
      </w:pPr>
      <w:r>
        <w:rPr>
          <w:rFonts w:cs="Arial" w:ascii="Arial" w:hAnsi="Arial"/>
          <w:color w:val="000000"/>
          <w:spacing w:val="1"/>
          <w:lang w:eastAsia="en-US"/>
        </w:rPr>
        <w:t xml:space="preserve">                    </w:t>
      </w:r>
      <w:r>
        <w:rPr>
          <w:rFonts w:cs="Arial" w:ascii="Arial" w:hAnsi="Arial"/>
          <w:b/>
          <w:color w:val="000000"/>
          <w:spacing w:val="3"/>
          <w:lang w:eastAsia="en-US"/>
        </w:rPr>
        <w:t xml:space="preserve">П </w:t>
      </w:r>
      <w:r>
        <w:rPr>
          <w:rFonts w:cs="Arial" w:ascii="Arial" w:hAnsi="Arial"/>
          <w:color w:val="000000"/>
          <w:spacing w:val="3"/>
          <w:lang w:eastAsia="en-US"/>
        </w:rPr>
        <w:t>– последици /тежест на вредата/.</w:t>
      </w:r>
    </w:p>
    <w:p>
      <w:pPr>
        <w:pStyle w:val="Normal"/>
        <w:shd w:fill="FFFFFF" w:val="clear"/>
        <w:spacing w:lineRule="exact" w:line="322"/>
        <w:ind w:firstLine="720" w:end="-811"/>
        <w:rPr>
          <w:rFonts w:ascii="Arial" w:hAnsi="Arial" w:cs="Arial"/>
          <w:color w:val="000000"/>
          <w:spacing w:val="3"/>
          <w:lang w:eastAsia="en-US"/>
        </w:rPr>
      </w:pPr>
      <w:r>
        <w:rPr>
          <w:rFonts w:cs="Arial" w:ascii="Arial" w:hAnsi="Arial"/>
          <w:color w:val="000000"/>
          <w:spacing w:val="3"/>
          <w:lang w:eastAsia="en-US"/>
        </w:rPr>
      </w:r>
    </w:p>
    <w:p>
      <w:pPr>
        <w:pStyle w:val="Normal"/>
        <w:shd w:fill="FFFFFF" w:val="clear"/>
        <w:spacing w:lineRule="exact" w:line="322"/>
        <w:ind w:start="734" w:end="0"/>
        <w:rPr>
          <w:rFonts w:ascii="Arial" w:hAnsi="Arial" w:cs="Arial"/>
          <w:color w:val="000000"/>
          <w:spacing w:val="3"/>
          <w:lang w:eastAsia="en-US"/>
        </w:rPr>
      </w:pPr>
      <w:r>
        <w:rPr>
          <w:rFonts w:cs="Arial" w:ascii="Arial" w:hAnsi="Arial"/>
          <w:color w:val="000000"/>
          <w:spacing w:val="3"/>
          <w:lang w:eastAsia="en-US"/>
        </w:rPr>
        <w:t xml:space="preserve">4.5.6.Решения за управление на риска се вземат съгласно табл. № 1 и табл.№ 2 </w:t>
      </w:r>
    </w:p>
    <w:p>
      <w:pPr>
        <w:pStyle w:val="Normal"/>
        <w:shd w:fill="FFFFFF" w:val="clear"/>
        <w:spacing w:lineRule="exact" w:line="322"/>
        <w:ind w:hanging="7306" w:start="7920" w:end="-271"/>
        <w:rPr>
          <w:rFonts w:ascii="Arial" w:hAnsi="Arial" w:cs="Arial"/>
          <w:color w:val="000000"/>
          <w:spacing w:val="3"/>
          <w:lang w:eastAsia="en-US"/>
        </w:rPr>
      </w:pPr>
      <w:r>
        <w:rPr>
          <w:rFonts w:cs="Arial" w:ascii="Arial" w:hAnsi="Arial"/>
          <w:color w:val="000000"/>
          <w:spacing w:val="3"/>
          <w:lang w:eastAsia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shd w:fill="FFFFFF" w:val="clear"/>
        <w:spacing w:lineRule="exact" w:line="322"/>
        <w:ind w:hanging="7306" w:start="7920" w:end="-271"/>
        <w:rPr/>
      </w:pPr>
      <w:r>
        <w:rPr/>
        <w:t>Таблица № 1</w:t>
      </w:r>
    </w:p>
    <w:tbl>
      <w:tblPr>
        <w:tblW w:w="94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20"/>
        <w:gridCol w:w="4500"/>
        <w:gridCol w:w="3300"/>
      </w:tblGrid>
      <w:tr>
        <w:trPr>
          <w:trHeight w:val="106" w:hRule="atLeast"/>
          <w:cantSplit/>
        </w:trPr>
        <w:tc>
          <w:tcPr>
            <w:tcW w:w="94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iCs/>
              </w:rPr>
            </w:pPr>
            <w:r>
              <w:rPr>
                <w:rFonts w:cs="Arial" w:ascii="Arial" w:hAnsi="Arial"/>
                <w:iCs/>
              </w:rPr>
              <w:t>Превенция на риска</w:t>
            </w:r>
          </w:p>
        </w:tc>
      </w:tr>
      <w:tr>
        <w:trPr>
          <w:trHeight w:val="106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rPr>
                <w:rFonts w:ascii="Arial" w:hAnsi="Arial" w:cs="Arial"/>
              </w:rPr>
            </w:pPr>
            <w:r>
              <w:rPr>
                <w:rFonts w:cs="Arial" w:ascii="Arial" w:hAnsi="Arial"/>
                <w:b w:val="false"/>
              </w:rPr>
              <w:t>Риск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rPr>
                <w:rFonts w:ascii="Arial" w:hAnsi="Arial" w:cs="Arial"/>
              </w:rPr>
            </w:pPr>
            <w:r>
              <w:rPr>
                <w:rFonts w:cs="Arial" w:ascii="Arial" w:hAnsi="Arial"/>
                <w:b w:val="false"/>
              </w:rPr>
              <w:t>Заключение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rPr>
                <w:rFonts w:ascii="Arial" w:hAnsi="Arial" w:cs="Arial"/>
              </w:rPr>
            </w:pPr>
            <w:r>
              <w:rPr>
                <w:rFonts w:cs="Arial" w:ascii="Arial" w:hAnsi="Arial"/>
                <w:b w:val="false"/>
              </w:rPr>
              <w:t>Действия</w:t>
            </w:r>
          </w:p>
        </w:tc>
      </w:tr>
      <w:tr>
        <w:trPr>
          <w:trHeight w:val="148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Р &lt; 20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Рискът е незначителен и не се очаква увеличие в близко бъдеще.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Не са необходими действия.</w:t>
            </w:r>
          </w:p>
        </w:tc>
      </w:tr>
      <w:tr>
        <w:trPr>
          <w:trHeight w:val="94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20 &lt; Р &lt; 70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Рискът е овладян на едно приемливо ниво, но може да се увеличи в бъдеще.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Не са необходими действия. Рискът трябва да се следи.</w:t>
            </w:r>
          </w:p>
        </w:tc>
      </w:tr>
      <w:tr>
        <w:trPr>
          <w:trHeight w:val="61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70 &lt; Р &lt; 200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Незадоволително и неефективно овладян риск.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Рискът следва да се отстрани.</w:t>
            </w:r>
          </w:p>
        </w:tc>
      </w:tr>
      <w:tr>
        <w:trPr>
          <w:trHeight w:val="61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200 &lt; Р &lt; 400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Повишен риск, който е незадоволително и неефективно овладян риск.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Незабавно вземане и прилагане на временни мерки, за да се предотврати и овладее излагането на тази опасност</w:t>
            </w:r>
          </w:p>
        </w:tc>
      </w:tr>
      <w:tr>
        <w:trPr>
          <w:trHeight w:val="61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Р &gt; 400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Голям риск, неефективно овладян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bCs w:val="false"/>
              </w:rPr>
              <w:t>Да се прекъсне дейността. Да се предприемат незабавни мерки за отстраняването му.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-331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                                                                                              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-331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Таблица № 2</w:t>
      </w:r>
    </w:p>
    <w:tbl>
      <w:tblPr>
        <w:tblW w:w="944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0"/>
        <w:gridCol w:w="2338"/>
        <w:gridCol w:w="5206"/>
      </w:tblGrid>
      <w:tr>
        <w:trPr>
          <w:trHeight w:val="233" w:hRule="atLeast"/>
        </w:trPr>
        <w:tc>
          <w:tcPr>
            <w:tcW w:w="944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/>
            </w:pPr>
            <w:r>
              <w:rPr>
                <w:rFonts w:cs="Arial" w:ascii="Arial" w:hAnsi="Arial"/>
                <w:lang w:eastAsia="en-US"/>
              </w:rPr>
              <w:t xml:space="preserve">                                                           </w:t>
            </w:r>
            <w:r>
              <w:rPr>
                <w:rFonts w:cs="Arial" w:ascii="Arial" w:hAnsi="Arial"/>
                <w:b/>
                <w:lang w:eastAsia="en-US"/>
              </w:rPr>
              <w:t>Спепен на риска</w:t>
            </w:r>
          </w:p>
        </w:tc>
      </w:tr>
      <w:tr>
        <w:trPr>
          <w:trHeight w:val="233" w:hRule="atLeast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start="-38" w:end="-108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Първа –        І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 xml:space="preserve">             </w:t>
            </w:r>
            <w:r>
              <w:rPr>
                <w:rFonts w:cs="Arial" w:ascii="Arial" w:hAnsi="Arial"/>
                <w:lang w:eastAsia="en-US"/>
              </w:rPr>
              <w:t>До   20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Твърде ограничен, приемлив риск</w:t>
            </w:r>
          </w:p>
        </w:tc>
      </w:tr>
      <w:tr>
        <w:trPr>
          <w:trHeight w:val="233" w:hRule="atLeast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start="-38" w:end="-108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Втора –        ІІ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От 20   До   70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108" w:leader="none"/>
                <w:tab w:val="left" w:pos="9639" w:leader="none"/>
              </w:tabs>
              <w:ind w:hanging="513" w:start="-108" w:end="283"/>
              <w:jc w:val="both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Ннн   Неголям риск, необходимо е внимание</w:t>
            </w:r>
          </w:p>
        </w:tc>
      </w:tr>
      <w:tr>
        <w:trPr>
          <w:trHeight w:val="246" w:hRule="atLeast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start="-38" w:end="-108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Трета  –      ІІІ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От 70   До 200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Необходими са мерки за намаляване на риска</w:t>
            </w:r>
          </w:p>
        </w:tc>
      </w:tr>
      <w:tr>
        <w:trPr>
          <w:trHeight w:val="233" w:hRule="atLeast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start="-38" w:end="-48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Четвърта – ІV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-44"/>
              <w:jc w:val="both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От 200  До 400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Необходимо е незабавно подобряване на условията на труд</w:t>
            </w:r>
          </w:p>
        </w:tc>
      </w:tr>
      <w:tr>
        <w:trPr>
          <w:trHeight w:val="233" w:hRule="atLeast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1534" w:leader="none"/>
                <w:tab w:val="left" w:pos="9639" w:leader="none"/>
              </w:tabs>
              <w:ind w:start="-38" w:end="-48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Пета  –        V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 xml:space="preserve">           </w:t>
            </w:r>
            <w:r>
              <w:rPr>
                <w:rFonts w:cs="Arial" w:ascii="Arial" w:hAnsi="Arial"/>
                <w:lang w:eastAsia="en-US"/>
              </w:rPr>
              <w:t>Над 400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Прекратяване на дейността до отстраняване на риска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283"/>
        <w:jc w:val="both"/>
        <w:rPr/>
      </w:pPr>
      <w:r>
        <w:rPr>
          <w:rFonts w:cs="Arial" w:ascii="Arial" w:hAnsi="Arial"/>
          <w:lang w:eastAsia="en-US"/>
        </w:rPr>
        <w:t xml:space="preserve">    </w:t>
      </w:r>
      <w:r>
        <w:rPr>
          <w:rFonts w:cs="Arial" w:ascii="Arial" w:hAnsi="Arial"/>
          <w:b/>
          <w:lang w:eastAsia="en-US"/>
        </w:rPr>
        <w:t>4.6. Планиране на мерки за предотвратяване на риска</w:t>
      </w:r>
    </w:p>
    <w:p>
      <w:pPr>
        <w:pStyle w:val="Normal"/>
        <w:jc w:val="both"/>
        <w:rPr/>
      </w:pPr>
      <w:r>
        <w:rPr>
          <w:rFonts w:cs="Arial" w:ascii="Arial" w:hAnsi="Arial"/>
          <w:b/>
          <w:lang w:eastAsia="en-US"/>
        </w:rPr>
        <w:t xml:space="preserve">    </w:t>
      </w:r>
      <w:r>
        <w:rPr>
          <w:rFonts w:cs="Arial" w:ascii="Arial" w:hAnsi="Arial"/>
          <w:b/>
          <w:color w:val="FF0000"/>
          <w:lang w:eastAsia="en-US"/>
        </w:rPr>
        <w:t xml:space="preserve">      </w:t>
      </w:r>
      <w:r>
        <w:rPr>
          <w:rFonts w:cs="Arial" w:ascii="Arial" w:hAnsi="Arial"/>
          <w:color w:val="000000"/>
          <w:lang w:eastAsia="en-US"/>
        </w:rPr>
        <w:t>4.6.1.На о</w:t>
      </w:r>
      <w:r>
        <w:rPr>
          <w:rFonts w:cs="Arial" w:ascii="Arial" w:hAnsi="Arial"/>
          <w:lang w:eastAsia="en-US"/>
        </w:rPr>
        <w:t xml:space="preserve">снование на оценката на риска се изготвя Ф2-09 „Програма за намаляване на риска”, в която се степенуват по приоритети мерките, сроковете и </w:t>
      </w:r>
      <w:r>
        <w:rPr>
          <w:rFonts w:cs="Arial" w:ascii="Arial" w:hAnsi="Arial"/>
          <w:color w:val="000000"/>
          <w:lang w:eastAsia="en-US"/>
        </w:rPr>
        <w:t>отговорни лица, контрол за изпълнение и необходимите ресурси.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 xml:space="preserve">           </w:t>
      </w:r>
      <w:r>
        <w:rPr>
          <w:rFonts w:cs="Arial" w:ascii="Arial" w:hAnsi="Arial"/>
          <w:color w:val="000000"/>
          <w:lang w:eastAsia="en-US"/>
        </w:rPr>
        <w:t xml:space="preserve">4.6.2.Задължително условие при откриване на ново работно място е за него да се състави Карта за оценка на риска за обекта. В противен случай преди започване на работа, управителят разпорежда  изготвяне на  оценка на риска. Ако оценката на риска е над допустимите граници, допълнително се изготвя </w:t>
      </w:r>
      <w:r>
        <w:rPr>
          <w:rFonts w:cs="Arial" w:ascii="Arial" w:hAnsi="Arial"/>
          <w:lang w:eastAsia="en-US"/>
        </w:rPr>
        <w:t>Ф2-09 „Програма за намаляване на риска”.</w:t>
      </w:r>
    </w:p>
    <w:p>
      <w:pPr>
        <w:pStyle w:val="Normal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 xml:space="preserve">        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b/>
          <w:color w:val="000000"/>
          <w:lang w:eastAsia="en-US"/>
        </w:rPr>
        <w:tab/>
        <w:t xml:space="preserve">    4.7. Преглед на идентифицирането на опасностите, оценяване на риска и овладяване на риска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283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     </w:t>
      </w:r>
      <w:r>
        <w:rPr>
          <w:rFonts w:cs="Arial" w:ascii="Arial" w:hAnsi="Arial"/>
          <w:lang w:eastAsia="en-US"/>
        </w:rPr>
        <w:t>Идентификация на опасностите и оценка на риска се извършва: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start="300" w:end="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 </w:t>
      </w:r>
      <w:r>
        <w:rPr>
          <w:rFonts w:cs="Arial" w:ascii="Arial" w:hAnsi="Arial"/>
          <w:lang w:eastAsia="en-US"/>
        </w:rPr>
        <w:t>- не по-малко от веднъж годишно;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0"/>
        <w:jc w:val="both"/>
        <w:rPr/>
      </w:pPr>
      <w:r>
        <w:rPr>
          <w:rFonts w:cs="Arial" w:ascii="Arial" w:hAnsi="Arial"/>
          <w:lang w:eastAsia="en-US"/>
        </w:rPr>
        <w:t xml:space="preserve">            </w:t>
      </w:r>
      <w:r>
        <w:rPr>
          <w:rFonts w:cs="Arial" w:ascii="Arial" w:hAnsi="Arial"/>
          <w:lang w:eastAsia="en-US"/>
        </w:rPr>
        <w:t>- при промени в дейността, входящите суровини и материали; промени в условията на извършване на дейността, усвояване на нови технологии, машини, след инциденти, злополуки и др.;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ab/>
        <w:t xml:space="preserve">            - при отваряне на нова работна площадка.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jc w:val="both"/>
        <w:rPr>
          <w:rFonts w:ascii="Arial" w:hAnsi="Arial" w:cs="Arial"/>
          <w:b/>
          <w:lang w:eastAsia="en-US"/>
        </w:rPr>
      </w:pPr>
      <w:r>
        <w:rPr>
          <w:rFonts w:cs="Arial" w:ascii="Arial" w:hAnsi="Arial"/>
          <w:b/>
          <w:lang w:eastAsia="en-US"/>
        </w:rPr>
      </w:r>
    </w:p>
    <w:p>
      <w:pPr>
        <w:pStyle w:val="Normal"/>
        <w:jc w:val="both"/>
        <w:rPr>
          <w:rFonts w:ascii="Arial" w:hAnsi="Arial" w:cs="Arial"/>
          <w:b/>
          <w:lang w:eastAsia="en-US"/>
        </w:rPr>
      </w:pPr>
      <w:r>
        <w:rPr>
          <w:rFonts w:cs="Arial" w:ascii="Arial" w:hAnsi="Arial"/>
          <w:lang w:eastAsia="en-US"/>
        </w:rPr>
        <w:t xml:space="preserve">          </w:t>
      </w:r>
      <w:r>
        <w:rPr>
          <w:rFonts w:cs="Arial" w:ascii="Arial" w:hAnsi="Arial"/>
          <w:b/>
          <w:lang w:eastAsia="en-US"/>
        </w:rPr>
        <w:t>Съпътстващи документи</w:t>
      </w:r>
      <w:r>
        <w:rPr>
          <w:rFonts w:cs="Arial" w:ascii="Arial" w:hAnsi="Arial"/>
          <w:b/>
          <w:color w:val="000000"/>
          <w:lang w:eastAsia="en-US"/>
        </w:rPr>
        <w:t xml:space="preserve">  </w:t>
      </w:r>
    </w:p>
    <w:p>
      <w:pPr>
        <w:pStyle w:val="Header"/>
        <w:numPr>
          <w:ilvl w:val="0"/>
          <w:numId w:val="2"/>
        </w:numPr>
        <w:tabs>
          <w:tab w:val="clear" w:pos="4536"/>
          <w:tab w:val="clear" w:pos="9072"/>
          <w:tab w:val="center" w:pos="4153" w:leader="none"/>
          <w:tab w:val="right" w:pos="8306" w:leader="none"/>
        </w:tabs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Ф2-08 „Карта за оценка на риска";</w:t>
      </w:r>
    </w:p>
    <w:p>
      <w:pPr>
        <w:pStyle w:val="Header"/>
        <w:numPr>
          <w:ilvl w:val="0"/>
          <w:numId w:val="2"/>
        </w:numPr>
        <w:tabs>
          <w:tab w:val="clear" w:pos="4536"/>
          <w:tab w:val="clear" w:pos="9072"/>
          <w:tab w:val="center" w:pos="4153" w:leader="none"/>
          <w:tab w:val="right" w:pos="8306" w:leader="none"/>
        </w:tabs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Ф2-09 „Програма за намаляване на риска”.</w:t>
      </w:r>
    </w:p>
    <w:p>
      <w:pPr>
        <w:pStyle w:val="Header"/>
        <w:tabs>
          <w:tab w:val="clear" w:pos="4536"/>
          <w:tab w:val="clear" w:pos="9072"/>
          <w:tab w:val="center" w:pos="4153" w:leader="none"/>
          <w:tab w:val="right" w:pos="8306" w:leader="none"/>
        </w:tabs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</w:t>
      </w:r>
      <w:r>
        <w:rPr>
          <w:rFonts w:cs="Arial" w:ascii="Arial" w:hAnsi="Arial"/>
          <w:b/>
          <w:lang w:eastAsia="en-US"/>
        </w:rPr>
        <w:t xml:space="preserve">    </w:t>
      </w:r>
      <w:r>
        <w:rPr>
          <w:rFonts w:cs="Arial" w:ascii="Arial" w:hAnsi="Arial"/>
          <w:b/>
          <w:lang w:eastAsia="en-US"/>
        </w:rPr>
        <w:t>Отговорности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-720" w:leader="none"/>
          <w:tab w:val="left" w:pos="993" w:leader="none"/>
        </w:tabs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Управител</w:t>
      </w:r>
      <w:r>
        <w:rPr>
          <w:rFonts w:cs="Arial"/>
          <w:sz w:val="24"/>
          <w:szCs w:val="24"/>
        </w:rPr>
        <w:t xml:space="preserve"> </w:t>
      </w:r>
    </w:p>
    <w:p>
      <w:pPr>
        <w:pStyle w:val="BodyText"/>
        <w:tabs>
          <w:tab w:val="clear" w:pos="708"/>
          <w:tab w:val="left" w:pos="-720" w:leader="none"/>
        </w:tabs>
        <w:ind w:start="360" w:end="0"/>
        <w:rPr/>
      </w:pPr>
      <w:r>
        <w:rPr>
          <w:rFonts w:cs="Arial"/>
          <w:sz w:val="24"/>
          <w:szCs w:val="24"/>
        </w:rPr>
        <w:t xml:space="preserve">      </w:t>
      </w:r>
      <w:r>
        <w:rPr>
          <w:rFonts w:cs="Arial"/>
          <w:sz w:val="24"/>
          <w:szCs w:val="24"/>
        </w:rPr>
        <w:t>-  определя със заповед членовете на групата по условия на труд /ГУТ/;</w:t>
      </w:r>
    </w:p>
    <w:p>
      <w:pPr>
        <w:pStyle w:val="BodyText"/>
        <w:tabs>
          <w:tab w:val="clear" w:pos="708"/>
          <w:tab w:val="left" w:pos="-720" w:leader="none"/>
        </w:tabs>
        <w:rPr/>
      </w:pPr>
      <w:r>
        <w:rPr>
          <w:rFonts w:cs="Arial"/>
          <w:sz w:val="24"/>
          <w:szCs w:val="24"/>
        </w:rPr>
        <w:t xml:space="preserve">           </w:t>
      </w:r>
      <w:r>
        <w:rPr>
          <w:rFonts w:cs="Arial"/>
          <w:sz w:val="24"/>
          <w:szCs w:val="24"/>
        </w:rPr>
        <w:t>- определя със заповед представител на ръководството за СУ;</w:t>
      </w:r>
    </w:p>
    <w:p>
      <w:pPr>
        <w:pStyle w:val="BodyText"/>
        <w:tabs>
          <w:tab w:val="clear" w:pos="708"/>
          <w:tab w:val="left" w:pos="-720" w:leader="none"/>
        </w:tabs>
        <w:ind w:start="360" w:end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</w:t>
      </w:r>
      <w:r>
        <w:rPr>
          <w:rFonts w:cs="Arial"/>
          <w:sz w:val="24"/>
          <w:szCs w:val="24"/>
        </w:rPr>
        <w:t>- осигурява необходимите ресурси;</w:t>
      </w:r>
    </w:p>
    <w:p>
      <w:pPr>
        <w:pStyle w:val="BodyText"/>
        <w:tabs>
          <w:tab w:val="clear" w:pos="708"/>
          <w:tab w:val="left" w:pos="-720" w:leader="none"/>
        </w:tabs>
        <w:ind w:start="360" w:end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</w:t>
      </w:r>
      <w:r>
        <w:rPr>
          <w:rFonts w:cs="Arial"/>
          <w:sz w:val="24"/>
          <w:szCs w:val="24"/>
        </w:rPr>
        <w:t>- одобрява Картите за оценка на риска;</w:t>
      </w:r>
    </w:p>
    <w:p>
      <w:pPr>
        <w:pStyle w:val="BodyText"/>
        <w:tabs>
          <w:tab w:val="clear" w:pos="708"/>
          <w:tab w:val="left" w:pos="-720" w:leader="none"/>
        </w:tabs>
        <w:ind w:start="360" w:end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</w:t>
      </w:r>
      <w:r>
        <w:rPr>
          <w:rFonts w:cs="Arial"/>
          <w:sz w:val="24"/>
          <w:szCs w:val="24"/>
        </w:rPr>
        <w:t xml:space="preserve">- одобрява Програмата за намаляване на риска .  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-720" w:leader="none"/>
          <w:tab w:val="left" w:pos="993" w:leader="none"/>
          <w:tab w:val="left" w:pos="9639" w:leader="none"/>
        </w:tabs>
        <w:ind w:hanging="360" w:start="1080" w:end="425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Представител от ръководството по здраве и безопасност при работа </w:t>
      </w:r>
    </w:p>
    <w:p>
      <w:pPr>
        <w:pStyle w:val="BodyText"/>
        <w:tabs>
          <w:tab w:val="clear" w:pos="708"/>
          <w:tab w:val="left" w:pos="-720" w:leader="none"/>
          <w:tab w:val="left" w:pos="9639" w:leader="none"/>
        </w:tabs>
        <w:ind w:start="720" w:end="425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- контактува  със Службата по трудова медицина /СТМ/</w:t>
      </w:r>
    </w:p>
    <w:p>
      <w:pPr>
        <w:pStyle w:val="BodyText"/>
        <w:tabs>
          <w:tab w:val="clear" w:pos="708"/>
          <w:tab w:val="left" w:pos="-720" w:leader="none"/>
          <w:tab w:val="left" w:pos="9639" w:leader="none"/>
        </w:tabs>
        <w:ind w:start="720" w:end="425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- контролира спазването на нормативните разпоредби по ЗБР;</w:t>
      </w:r>
    </w:p>
    <w:p>
      <w:pPr>
        <w:pStyle w:val="BodyText"/>
        <w:tabs>
          <w:tab w:val="clear" w:pos="708"/>
          <w:tab w:val="left" w:pos="-720" w:leader="none"/>
          <w:tab w:val="left" w:pos="9639" w:leader="none"/>
        </w:tabs>
        <w:ind w:start="720" w:end="425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- регистрира възникналите опасности и инциденти.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-720" w:leader="none"/>
          <w:tab w:val="left" w:pos="993" w:leader="none"/>
          <w:tab w:val="left" w:pos="9639" w:leader="none"/>
        </w:tabs>
        <w:ind w:hanging="360" w:start="1080" w:end="425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Група по условия на труд /ГУТ/</w:t>
      </w:r>
    </w:p>
    <w:p>
      <w:pPr>
        <w:pStyle w:val="BodyText"/>
        <w:tabs>
          <w:tab w:val="clear" w:pos="708"/>
          <w:tab w:val="left" w:pos="-720" w:leader="none"/>
          <w:tab w:val="left" w:pos="9639" w:leader="none"/>
        </w:tabs>
        <w:ind w:start="720" w:end="425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- отговаря за извършване на анализ на риска;</w:t>
      </w:r>
    </w:p>
    <w:p>
      <w:pPr>
        <w:pStyle w:val="BodyText"/>
        <w:tabs>
          <w:tab w:val="clear" w:pos="708"/>
          <w:tab w:val="left" w:pos="-720" w:leader="none"/>
          <w:tab w:val="left" w:pos="9639" w:leader="none"/>
        </w:tabs>
        <w:ind w:start="720" w:end="425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- съвместно със  СТМ  извършва оценка на риска;</w:t>
      </w:r>
    </w:p>
    <w:p>
      <w:pPr>
        <w:pStyle w:val="BodyText"/>
        <w:tabs>
          <w:tab w:val="clear" w:pos="708"/>
          <w:tab w:val="left" w:pos="-720" w:leader="none"/>
          <w:tab w:val="left" w:pos="9639" w:leader="none"/>
        </w:tabs>
        <w:ind w:start="720" w:end="425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- участва при изготвяне на Карти за оценка на риска;</w:t>
      </w:r>
    </w:p>
    <w:p>
      <w:pPr>
        <w:pStyle w:val="Normal"/>
        <w:ind w:firstLine="720" w:end="-31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- изготвя Програма за управление на риска.</w:t>
      </w:r>
    </w:p>
    <w:tbl>
      <w:tblPr>
        <w:tblW w:w="921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4541"/>
      </w:tblGrid>
      <w:tr>
        <w:trPr/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Изготвил:,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Утвърдил:, ……………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22"/>
              </w:rPr>
              <w:t>Дата: 12.01.2026г.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22"/>
              </w:rPr>
              <w:t>Дата: 12.01.2026г.</w:t>
            </w:r>
          </w:p>
        </w:tc>
      </w:tr>
    </w:tbl>
    <w:p>
      <w:pPr>
        <w:pStyle w:val="Normal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539" w:top="1417" w:footer="708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TmsCyr">
    <w:altName w:val="Times New Roman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08"/>
      <w:gridCol w:w="3420"/>
      <w:gridCol w:w="2084"/>
    </w:tblGrid>
    <w:tr>
      <w:trPr/>
      <w:tc>
        <w:tcPr>
          <w:tcW w:w="7128" w:type="dxa"/>
          <w:gridSpan w:val="2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7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7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3708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</w:t>
          </w:r>
          <w:r>
            <w:rPr>
              <w:rFonts w:cs="Arial" w:ascii="Arial" w:hAnsi="Arial"/>
              <w:sz w:val="20"/>
              <w:szCs w:val="20"/>
              <w:lang w:val="en-US"/>
            </w:rPr>
            <w:t>1</w:t>
          </w:r>
          <w:r>
            <w:rPr>
              <w:rFonts w:cs="Arial" w:ascii="Arial" w:hAnsi="Arial"/>
              <w:sz w:val="20"/>
              <w:szCs w:val="20"/>
            </w:rPr>
            <w:t>.20</w:t>
          </w:r>
          <w:r>
            <w:rPr>
              <w:rFonts w:cs="Arial" w:ascii="Arial" w:hAnsi="Arial"/>
              <w:sz w:val="20"/>
              <w:szCs w:val="20"/>
              <w:lang w:val="en-US"/>
            </w:rPr>
            <w:t>2</w:t>
          </w:r>
          <w:r>
            <w:rPr>
              <w:rFonts w:cs="Arial" w:ascii="Arial" w:hAnsi="Arial"/>
              <w:sz w:val="20"/>
              <w:szCs w:val="20"/>
            </w:rPr>
            <w:t>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0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5560"/>
      <w:gridCol w:w="1615"/>
    </w:tblGrid>
    <w:tr>
      <w:trPr/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  <w:b/>
            </w:rPr>
            <w:t>СМП ПЛЕВЕН ЕООД</w:t>
          </w:r>
        </w:p>
      </w:tc>
      <w:tc>
        <w:tcPr>
          <w:tcW w:w="556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Описание на процес</w:t>
          </w:r>
        </w:p>
      </w:tc>
      <w:tc>
        <w:tcPr>
          <w:tcW w:w="161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док. ном.: ОП</w:t>
          </w:r>
          <w:r>
            <w:rPr>
              <w:rFonts w:cs="Arial" w:ascii="Arial" w:hAnsi="Arial"/>
              <w:lang w:val="en-US"/>
            </w:rPr>
            <w:t>2</w:t>
          </w:r>
          <w:r>
            <w:rPr>
              <w:rFonts w:cs="Arial" w:ascii="Arial" w:hAnsi="Arial"/>
            </w:rPr>
            <w:t>-03</w:t>
          </w:r>
        </w:p>
      </w:tc>
    </w:tr>
    <w:tr>
      <w:trPr/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556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cs="Arial" w:ascii="Arial" w:hAnsi="Arial"/>
              <w:b/>
              <w:sz w:val="22"/>
              <w:szCs w:val="22"/>
            </w:rPr>
            <w:t>Идентифициране на опасностите за БЗР, оценяване на рисковете и определяне на мерки</w:t>
          </w:r>
        </w:p>
      </w:tc>
      <w:tc>
        <w:tcPr>
          <w:tcW w:w="161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cs="Arial" w:ascii="Arial" w:hAnsi="Arial"/>
              <w:b/>
              <w:sz w:val="22"/>
              <w:szCs w:val="22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020"/>
        </w:tabs>
        <w:ind w:start="10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04"/>
        </w:tabs>
        <w:ind w:start="1004" w:hanging="360"/>
      </w:pPr>
      <w:rPr>
        <w:rFonts w:ascii="Symbol" w:hAnsi="Symbol" w:cs="Symbol" w:hint="default"/>
        <w:color w:val="00000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bg-BG" w:eastAsia="bg-BG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5z4">
    <w:name w:val="WW8Num5z4"/>
    <w:qFormat/>
    <w:rPr>
      <w:rFonts w:ascii="Courier New" w:hAnsi="Courier New" w:cs="Courier New"/>
    </w:rPr>
  </w:style>
  <w:style w:type="character" w:styleId="WW8Num6z0">
    <w:name w:val="WW8Num6z0"/>
    <w:qFormat/>
    <w:rPr>
      <w:rFonts w:ascii="Symbol" w:hAnsi="Symbol" w:cs="Symbol"/>
      <w:color w:val="000000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odyTextChar">
    <w:name w:val="Body Text Char"/>
    <w:qFormat/>
    <w:rPr>
      <w:rFonts w:ascii="Arial" w:hAnsi="Arial" w:cs="Arial"/>
      <w:sz w:val="16"/>
    </w:rPr>
  </w:style>
  <w:style w:type="character" w:styleId="BodyText2Char">
    <w:name w:val="Body Text 2 Char"/>
    <w:qFormat/>
    <w:rPr>
      <w:rFonts w:ascii="Arial" w:hAnsi="Arial" w:cs="Arial"/>
      <w:sz w:val="22"/>
    </w:rPr>
  </w:style>
  <w:style w:type="character" w:styleId="TitleChar">
    <w:name w:val="Title Char"/>
    <w:qFormat/>
    <w:rPr>
      <w:b/>
      <w:bCs/>
      <w:sz w:val="24"/>
      <w:szCs w:val="24"/>
    </w:rPr>
  </w:style>
  <w:style w:type="paragraph" w:styleId="Style14">
    <w:name w:val="Заглавие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/>
    <w:rPr>
      <w:rFonts w:ascii="Arial" w:hAnsi="Arial" w:cs="Arial"/>
      <w:sz w:val="16"/>
      <w:szCs w:val="20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Subtitle">
    <w:name w:val="Subtitle"/>
    <w:basedOn w:val="Normal"/>
    <w:next w:val="BodyText"/>
    <w:qFormat/>
    <w:pPr>
      <w:jc w:val="center"/>
    </w:pPr>
    <w:rPr>
      <w:sz w:val="28"/>
      <w:szCs w:val="20"/>
    </w:rPr>
  </w:style>
  <w:style w:type="paragraph" w:styleId="NormalWeb">
    <w:name w:val="Normal (Web)"/>
    <w:basedOn w:val="Normal"/>
    <w:qFormat/>
    <w:pPr>
      <w:spacing w:before="280" w:after="280"/>
    </w:pPr>
    <w:rPr>
      <w:color w:val="000000"/>
      <w:lang w:val="en-GB"/>
    </w:rPr>
  </w:style>
  <w:style w:type="paragraph" w:styleId="BodyText2">
    <w:name w:val="Body Text 2"/>
    <w:basedOn w:val="Normal"/>
    <w:qFormat/>
    <w:pPr>
      <w:numPr>
        <w:ilvl w:val="0"/>
        <w:numId w:val="0"/>
      </w:numPr>
      <w:ind w:hanging="0" w:start="0" w:end="0"/>
    </w:pPr>
    <w:rPr>
      <w:rFonts w:ascii="Arial" w:hAnsi="Arial" w:cs="Arial"/>
      <w:sz w:val="22"/>
      <w:szCs w:val="20"/>
    </w:rPr>
  </w:style>
  <w:style w:type="paragraph" w:styleId="TOC3">
    <w:name w:val="toc 3"/>
    <w:basedOn w:val="Normal"/>
    <w:pPr>
      <w:ind w:firstLine="284" w:start="0" w:end="0"/>
    </w:pPr>
    <w:rPr>
      <w:rFonts w:ascii="TmsCyr;Times New Roman" w:hAnsi="TmsCyr;Times New Roman" w:cs="TmsCyr;Times New Roman"/>
      <w:b/>
      <w:szCs w:val="20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2009-05-16T10:12:00Z</dcterms:created>
  <dc:creator>Trenkov</dc:creator>
  <dc:description/>
  <cp:keywords/>
  <dc:language>bg-BG</dc:language>
  <cp:lastModifiedBy>Георги Георгиев</cp:lastModifiedBy>
  <dcterms:modified xsi:type="dcterms:W3CDTF">2026-03-23T19:13:00Z</dcterms:modified>
  <cp:revision>77</cp:revision>
  <dc:subject/>
  <dc:title/>
</cp:coreProperties>
</file>