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1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913"/>
        <w:gridCol w:w="567"/>
        <w:gridCol w:w="1063"/>
        <w:gridCol w:w="1063"/>
        <w:gridCol w:w="709"/>
        <w:gridCol w:w="851"/>
        <w:gridCol w:w="850"/>
        <w:gridCol w:w="2594"/>
      </w:tblGrid>
      <w:tr>
        <w:trPr>
          <w:trHeight w:val="291" w:hRule="exact"/>
          <w:cantSplit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Отговорност</w:t>
            </w:r>
          </w:p>
        </w:tc>
        <w:tc>
          <w:tcPr>
            <w:tcW w:w="5103" w:type="dxa"/>
            <w:gridSpan w:val="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lang w:val="bg-BG"/>
              </w:rPr>
              <w:t>Диаграма на процесите</w:t>
            </w:r>
          </w:p>
        </w:tc>
        <w:tc>
          <w:tcPr>
            <w:tcW w:w="2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lang w:val="bg-BG"/>
              </w:rPr>
              <w:t>Документи</w:t>
            </w:r>
          </w:p>
        </w:tc>
      </w:tr>
      <w:tr>
        <w:trPr>
          <w:trHeight w:val="752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50165</wp:posOffset>
                      </wp:positionV>
                      <wp:extent cx="1383030" cy="365760"/>
                      <wp:effectExtent l="9525" t="9525" r="10160" b="10795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3120" cy="365760"/>
                              </a:xfrm>
                              <a:prstGeom prst="ellipse">
                                <a:avLst/>
                              </a:prstGeom>
                              <a:noFill/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-2.8pt;margin-top:3.95pt;width:108.85pt;height:28.75pt;mso-wrap-style:none;v-text-anchor:middle">
                      <v:fill o:detectmouseclick="t" on="false"/>
                      <v:stroke color="black" weight="19080" joinstyle="miter" endcap="flat"/>
                      <w10:wrap type="none"/>
                    </v:oval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lang w:val="en-GB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291465</wp:posOffset>
                      </wp:positionV>
                      <wp:extent cx="12700" cy="212725"/>
                      <wp:effectExtent l="33655" t="635" r="30480" b="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2600" cy="21276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.6pt,22.95pt" to="49.55pt,39.65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" w:hAnsi="Arial"/>
                <w:sz w:val="20"/>
                <w:lang w:val="en-GB"/>
              </w:rPr>
              <w:t>Начало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259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</w:tr>
      <w:tr>
        <w:trPr>
          <w:trHeight w:val="300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106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106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1701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cs="Arial" w:ascii="Arial" w:hAnsi="Arial"/>
                <w:sz w:val="22"/>
                <w:lang w:val="en-US"/>
              </w:rPr>
            </w:r>
          </w:p>
        </w:tc>
        <w:tc>
          <w:tcPr>
            <w:tcW w:w="259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</w:tr>
      <w:tr>
        <w:trPr>
          <w:trHeight w:val="300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cs="Arial" w:ascii="Arial" w:hAnsi="Arial"/>
                <w:sz w:val="22"/>
                <w:lang w:val="eu-ES"/>
              </w:rPr>
              <w:t>У</w:t>
            </w:r>
            <w:r>
              <w:rPr>
                <w:rFonts w:cs="Arial" w:ascii="Arial" w:hAnsi="Arial"/>
                <w:sz w:val="22"/>
                <w:lang w:val="bg-BG"/>
              </w:rPr>
              <w:t xml:space="preserve"> ; Дпроизв.</w:t>
            </w:r>
          </w:p>
        </w:tc>
        <w:tc>
          <w:tcPr>
            <w:tcW w:w="567" w:type="dxa"/>
            <w:tcBorders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0"/>
                <w:lang w:val="bg-BG"/>
              </w:rPr>
              <w:t>П</w:t>
            </w:r>
            <w:r>
              <w:rPr>
                <w:rFonts w:cs="Arial" w:ascii="Arial" w:hAnsi="Arial"/>
                <w:sz w:val="20"/>
                <w:lang w:val="en-GB"/>
              </w:rPr>
              <w:t>1: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Проучване на необходимостта от машини и инфраструктура</w:t>
            </w:r>
          </w:p>
        </w:tc>
        <w:tc>
          <w:tcPr>
            <w:tcW w:w="709" w:type="dxa"/>
            <w:tcBorders>
              <w:start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701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259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</w:tr>
      <w:tr>
        <w:trPr>
          <w:trHeight w:val="300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063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063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2" behindDoc="0" locked="0" layoutInCell="1" allowOverlap="1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-18415</wp:posOffset>
                      </wp:positionV>
                      <wp:extent cx="0" cy="190500"/>
                      <wp:effectExtent l="38100" t="0" r="38100" b="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19044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1.25pt,-1.45pt" to="-1.25pt,13.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1701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259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</w:tr>
      <w:tr>
        <w:trPr>
          <w:trHeight w:val="524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eu-ES"/>
              </w:rPr>
              <w:t>У</w:t>
            </w:r>
          </w:p>
        </w:tc>
        <w:tc>
          <w:tcPr>
            <w:tcW w:w="567" w:type="dxa"/>
            <w:tcBorders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0"/>
                <w:lang w:val="bg-BG"/>
              </w:rPr>
              <w:t>Нова</w:t>
            </w:r>
            <w:r>
              <w:rPr>
                <w:rFonts w:cs="Arial" w:ascii="Arial" w:hAnsi="Arial"/>
                <w:sz w:val="20"/>
                <w:lang w:val="en-GB"/>
              </w:rPr>
              <w:t>/</w:t>
            </w:r>
            <w:r>
              <w:rPr>
                <w:rFonts w:cs="Arial" w:ascii="Arial" w:hAnsi="Arial"/>
                <w:sz w:val="20"/>
                <w:lang w:val="bg-BG"/>
              </w:rPr>
              <w:t>допълнителна/ инвестиция</w:t>
            </w:r>
            <w:r>
              <w:rPr>
                <w:rFonts w:cs="Arial" w:ascii="Arial" w:hAnsi="Arial"/>
                <w:sz w:val="20"/>
                <w:lang w:val="en-GB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709" w:type="dxa"/>
            <w:tcBorders>
              <w:start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1701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25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</w:tr>
      <w:tr>
        <w:trPr>
          <w:trHeight w:val="871" w:hRule="atLeast"/>
          <w:cantSplit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1063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GB" w:eastAsia="bg-BG" w:bidi="ar-SA"/>
              </w:rPr>
            </w:pPr>
            <w:r>
              <w:rPr>
                <w:rFonts w:cs="Arial" w:ascii="Arial" w:hAnsi="Arial"/>
                <w:sz w:val="20"/>
                <w:lang w:val="en-GB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0" behindDoc="0" locked="0" layoutInCell="1" allowOverlap="1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4445</wp:posOffset>
                      </wp:positionV>
                      <wp:extent cx="1214755" cy="470535"/>
                      <wp:effectExtent l="27305" t="11430" r="26670" b="1016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4640" cy="47052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val="en-US" w:bidi="he-IL"/>
                                    </w:rPr>
                                    <w:t>ok</w:t>
                                  </w: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bidi="he-IL" w:val="de-DE"/>
                                    </w:rPr>
                                    <w:t xml:space="preserve"> ?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4" coordsize="21600,21600" o:spt="4" path="m,10800l10800,l21600,10800l10800,21600xe">
                      <v:stroke joinstyle="miter"/>
                      <v:formulas>
                        <v:f eqn="prod width 3 4"/>
                        <v:f eqn="prod height 3 4"/>
                      </v:formulas>
                      <v:path gradientshapeok="t" o:connecttype="rect" textboxrect="5400,5400,@0,@1"/>
                    </v:shapetype>
                    <v:shape id="shape_0" fillcolor="white" stroked="t" o:allowincell="t" style="position:absolute;margin-left:3pt;margin-top:0.35pt;width:95.6pt;height:37pt;mso-wrap-style:square;v-text-anchor:top" type="_x0000_t4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val="en-US" w:bidi="he-IL"/>
                              </w:rPr>
                              <w:t>ok</w:t>
                            </w: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bidi="he-IL" w:val="de-DE"/>
                              </w:rPr>
                              <w:t xml:space="preserve"> ?</w:t>
                            </w:r>
                          </w:p>
                        </w:txbxContent>
                      </v:textbox>
                      <v:fill o:detectmouseclick="t" type="solid" color2="black"/>
                      <v:stroke color="black" weight="19080" joinstyle="miter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1063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lang w:val="bg-BG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13" behindDoc="0" locked="0" layoutInCell="1" allowOverlap="1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31115</wp:posOffset>
                      </wp:positionV>
                      <wp:extent cx="0" cy="145415"/>
                      <wp:effectExtent l="38100" t="0" r="38100" b="0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14544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2.15pt,2.45pt" to="-2.15pt,13.8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" w:hAnsi="Arial"/>
                <w:sz w:val="20"/>
                <w:lang w:val="en-GB"/>
              </w:rPr>
              <w:t xml:space="preserve"> 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cs="Arial" w:ascii="Arial" w:hAnsi="Arial"/>
                <w:sz w:val="16"/>
                <w:lang w:val="bg-BG"/>
              </w:rPr>
            </w:r>
          </w:p>
        </w:tc>
        <w:tc>
          <w:tcPr>
            <w:tcW w:w="1701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  <w:tc>
          <w:tcPr>
            <w:tcW w:w="2594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300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/>
                <w:bCs/>
                <w:sz w:val="22"/>
                <w:lang w:val="bg-BG"/>
              </w:rPr>
              <w:t>НТОМП</w:t>
            </w:r>
          </w:p>
        </w:tc>
        <w:tc>
          <w:tcPr>
            <w:tcW w:w="567" w:type="dxa"/>
            <w:tcBorders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0"/>
                <w:lang w:val="bg-BG"/>
              </w:rPr>
              <w:t>П</w:t>
            </w:r>
            <w:r>
              <w:rPr>
                <w:rFonts w:cs="Arial" w:ascii="Arial" w:hAnsi="Arial"/>
                <w:sz w:val="20"/>
              </w:rPr>
              <w:t>2: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19" behindDoc="0" locked="0" layoutInCell="1" allowOverlap="1">
                      <wp:simplePos x="0" y="0"/>
                      <wp:positionH relativeFrom="column">
                        <wp:posOffset>1299845</wp:posOffset>
                      </wp:positionH>
                      <wp:positionV relativeFrom="paragraph">
                        <wp:posOffset>274955</wp:posOffset>
                      </wp:positionV>
                      <wp:extent cx="979805" cy="0"/>
                      <wp:effectExtent l="0" t="38100" r="0" b="3810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979920" cy="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02.35pt,21.65pt" to="179.45pt,21.65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" w:hAnsi="Arial"/>
                <w:sz w:val="20"/>
                <w:lang w:val="bg-BG"/>
              </w:rPr>
              <w:t>Планиране и</w:t>
            </w:r>
            <w:r>
              <w:rPr>
                <w:rFonts w:cs="Arial" w:ascii="Arial" w:hAnsi="Arial"/>
                <w:sz w:val="20"/>
                <w:lang w:val="ru-RU"/>
              </w:rPr>
              <w:t xml:space="preserve"> </w:t>
            </w:r>
            <w:r>
              <w:rPr>
                <w:rFonts w:cs="Arial" w:ascii="Arial" w:hAnsi="Arial"/>
                <w:sz w:val="20"/>
                <w:lang w:val="bg-BG"/>
              </w:rPr>
              <w:t>провеждане на дейностите по поддръжка на машините</w:t>
            </w:r>
          </w:p>
        </w:tc>
        <w:tc>
          <w:tcPr>
            <w:tcW w:w="709" w:type="dxa"/>
            <w:tcBorders>
              <w:start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 w:eastAsia="bg-BG" w:bidi="ar-SA"/>
              </w:rPr>
            </w:pPr>
            <w:r>
              <w:rPr>
                <w:rFonts w:cs="Arial" w:ascii="Arial" w:hAnsi="Arial"/>
                <w:sz w:val="22"/>
                <w:lang w:val="ru-RU" w:eastAsia="bg-BG" w:bidi="ar-SA"/>
              </w:rPr>
            </w:r>
            <w:r>
              <mc:AlternateContent>
                <mc:Choice Requires="wps">
                  <w:drawing>
                    <wp:anchor distT="0" distB="0" distL="114935" distR="114935" simplePos="0" relativeHeight="17" behindDoc="0" locked="0" layoutInCell="1" allowOverlap="1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622300</wp:posOffset>
                      </wp:positionV>
                      <wp:extent cx="1090295" cy="1047750"/>
                      <wp:effectExtent l="0" t="0" r="0" b="0"/>
                      <wp:wrapNone/>
                      <wp:docPr id="7" name="Рамка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0295" cy="1047750"/>
                              </a:xfrm>
                              <a:prstGeom prst="rect"/>
                              <a:solidFill>
                                <a:srgbClr val="00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lang w:val="bg-BG"/>
                                    </w:rPr>
                                    <w:t>Избиране на мероприятие</w:t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lang w:val="ru-RU"/>
                                    </w:rPr>
                                    <w:t>(</w:t>
                                  </w: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lang w:val="bg-BG"/>
                                    </w:rPr>
                                    <w:t>Какво</w:t>
                                  </w: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lang w:val="ru-RU"/>
                                    </w:rPr>
                                    <w:t xml:space="preserve">? </w:t>
                                  </w: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lang w:val="bg-BG"/>
                                    </w:rPr>
                                    <w:t>Кога</w:t>
                                  </w: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lang w:val="ru-RU"/>
                                    </w:rPr>
                                    <w:t>?</w:t>
                                  </w:r>
                                  <w:r>
                                    <w:rPr>
                                      <w:rFonts w:cs="Arial" w:ascii="Arial" w:hAnsi="Arial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lang w:val="bg-BG"/>
                                    </w:rPr>
                                    <w:t>Кой</w:t>
                                  </w:r>
                                  <w:r>
                                    <w:rPr>
                                      <w:rFonts w:cs="Arial" w:ascii="Arial" w:hAnsi="Arial"/>
                                      <w:sz w:val="20"/>
                                    </w:rPr>
                                    <w:t>?)</w:t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00FFFF" strokecolor="#000000" strokeweight="1pt" style="position:absolute;rotation:-0;width:85.85pt;height:82.5pt;mso-wrap-distance-left:9.05pt;mso-wrap-distance-right:9.05pt;mso-wrap-distance-top:0pt;mso-wrap-distance-bottom:0pt;margin-top:49pt;mso-position-vertical-relative:text;margin-left:30.25pt;mso-position-horizontal-relative:text">
                      <v:textbox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bg-BG"/>
                              </w:rPr>
                              <w:t>Избиране на мероприятие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  <w:lang w:val="bg-BG"/>
                              </w:rPr>
                              <w:t>Какво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  <w:lang w:val="ru-RU"/>
                              </w:rPr>
                              <w:t xml:space="preserve">?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  <w:lang w:val="bg-BG"/>
                              </w:rPr>
                              <w:t>Кога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  <w:lang w:val="ru-RU"/>
                              </w:rPr>
                              <w:t>?</w:t>
                            </w:r>
                            <w:r>
                              <w:rPr>
                                <w:rFonts w:cs="Arial" w:ascii="Arial" w:hAnsi="Arial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  <w:lang w:val="bg-BG"/>
                              </w:rPr>
                              <w:t>Кой</w:t>
                            </w:r>
                            <w:r>
                              <w:rPr>
                                <w:rFonts w:cs="Arial" w:ascii="Arial" w:hAnsi="Arial"/>
                                <w:sz w:val="20"/>
                              </w:rPr>
                              <w:t>?)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701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 w:eastAsia="bg-BG" w:bidi="ar-SA"/>
              </w:rPr>
            </w:pPr>
            <w:r>
              <w:rPr>
                <w:rFonts w:cs="Arial" w:ascii="Arial" w:hAnsi="Arial"/>
                <w:sz w:val="22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8" behindDoc="0" locked="0" layoutInCell="1" allowOverlap="1">
                      <wp:simplePos x="0" y="0"/>
                      <wp:positionH relativeFrom="column">
                        <wp:posOffset>471805</wp:posOffset>
                      </wp:positionH>
                      <wp:positionV relativeFrom="paragraph">
                        <wp:posOffset>283210</wp:posOffset>
                      </wp:positionV>
                      <wp:extent cx="0" cy="349250"/>
                      <wp:effectExtent l="9525" t="0" r="9525" b="0"/>
                      <wp:wrapNone/>
                      <wp:docPr id="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34920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15pt,22.3pt" to="37.15pt,49.75pt" stroked="t" o:allowincell="t" style="position:absolute">
                      <v:stroke color="black" weight="190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5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  <w:t>Ф3-10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  <w:t>Ф3-08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  <w:t>Ф3-11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  <w:t>Ф3-04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  <w:t>Ф3-04б</w:t>
            </w:r>
          </w:p>
        </w:tc>
      </w:tr>
      <w:tr>
        <w:trPr>
          <w:trHeight w:val="821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1" behindDoc="0" locked="0" layoutInCell="1" allowOverlap="1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113665</wp:posOffset>
                      </wp:positionV>
                      <wp:extent cx="1214755" cy="470535"/>
                      <wp:effectExtent l="27305" t="11430" r="26670" b="10160"/>
                      <wp:wrapNone/>
                      <wp:docPr id="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4640" cy="47052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val="en-US" w:bidi="he-IL"/>
                                    </w:rPr>
                                    <w:t>ok</w:t>
                                  </w: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bidi="he-IL" w:val="de-DE"/>
                                    </w:rPr>
                                    <w:t xml:space="preserve"> ?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white" stroked="t" o:allowincell="t" style="position:absolute;margin-left:-1.2pt;margin-top:8.95pt;width:95.6pt;height:37pt;mso-wrap-style:square;v-text-anchor:top" type="_x0000_t4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val="en-US" w:bidi="he-IL"/>
                              </w:rPr>
                              <w:t>ok</w:t>
                            </w: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bidi="he-IL" w:val="de-DE"/>
                              </w:rPr>
                              <w:t xml:space="preserve"> ?</w:t>
                            </w:r>
                          </w:p>
                        </w:txbxContent>
                      </v:textbox>
                      <v:fill o:detectmouseclick="t" type="solid" color2="black"/>
                      <v:stroke color="black" weight="19080" joinstyle="miter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distT="0" distB="0" distL="114935" distR="114935" simplePos="0" relativeHeight="15" behindDoc="0" locked="0" layoutInCell="1" allowOverlap="1">
                      <wp:simplePos x="0" y="0"/>
                      <wp:positionH relativeFrom="column">
                        <wp:posOffset>600710</wp:posOffset>
                      </wp:positionH>
                      <wp:positionV relativeFrom="paragraph">
                        <wp:posOffset>12065</wp:posOffset>
                      </wp:positionV>
                      <wp:extent cx="0" cy="107315"/>
                      <wp:effectExtent l="38100" t="0" r="38100" b="0"/>
                      <wp:wrapNone/>
                      <wp:docPr id="1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10728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7.3pt,0.95pt" to="47.3pt,9.3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4" behindDoc="0" locked="0" layoutInCell="1" allowOverlap="1">
                      <wp:simplePos x="0" y="0"/>
                      <wp:positionH relativeFrom="column">
                        <wp:posOffset>581660</wp:posOffset>
                      </wp:positionH>
                      <wp:positionV relativeFrom="paragraph">
                        <wp:posOffset>276225</wp:posOffset>
                      </wp:positionV>
                      <wp:extent cx="0" cy="145415"/>
                      <wp:effectExtent l="38100" t="0" r="38100" b="0"/>
                      <wp:wrapNone/>
                      <wp:docPr id="1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14544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5.8pt,21.75pt" to="45.8pt,33.1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6" behindDoc="0" locked="0" layoutInCell="1" allowOverlap="1">
                      <wp:simplePos x="0" y="0"/>
                      <wp:positionH relativeFrom="column">
                        <wp:posOffset>516890</wp:posOffset>
                      </wp:positionH>
                      <wp:positionV relativeFrom="paragraph">
                        <wp:posOffset>55245</wp:posOffset>
                      </wp:positionV>
                      <wp:extent cx="575945" cy="10160"/>
                      <wp:effectExtent l="635" t="29845" r="0" b="36830"/>
                      <wp:wrapNone/>
                      <wp:docPr id="1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000" cy="1008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7pt,4.35pt" to="86pt,5.1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  <w:lang w:val="bg-BG" w:eastAsia="bg-BG" w:bidi="ar-SA"/>
              </w:rPr>
            </w:pPr>
            <w:r>
              <w:rPr>
                <w:rFonts w:cs="Arial" w:ascii="Arial" w:hAnsi="Arial"/>
                <w:sz w:val="16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9" behindDoc="0" locked="0" layoutInCell="1" allowOverlap="1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681355</wp:posOffset>
                      </wp:positionV>
                      <wp:extent cx="0" cy="180975"/>
                      <wp:effectExtent l="38100" t="0" r="38100" b="0"/>
                      <wp:wrapNone/>
                      <wp:docPr id="1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18108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2.8pt,53.65pt" to="-2.8pt,67.8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distT="0" distB="0" distL="114935" distR="114935" simplePos="0" relativeHeight="20" behindDoc="0" locked="0" layoutInCell="1" allowOverlap="1">
                      <wp:simplePos x="0" y="0"/>
                      <wp:positionH relativeFrom="column">
                        <wp:posOffset>547370</wp:posOffset>
                      </wp:positionH>
                      <wp:positionV relativeFrom="paragraph">
                        <wp:posOffset>1078865</wp:posOffset>
                      </wp:positionV>
                      <wp:extent cx="542925" cy="0"/>
                      <wp:effectExtent l="0" t="38100" r="0" b="38100"/>
                      <wp:wrapNone/>
                      <wp:docPr id="1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880" cy="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3.1pt,84.95pt" to="85.8pt,84.9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distT="0" distB="0" distL="114935" distR="114935" simplePos="0" relativeHeight="21" behindDoc="0" locked="0" layoutInCell="1" allowOverlap="1">
                      <wp:simplePos x="0" y="0"/>
                      <wp:positionH relativeFrom="column">
                        <wp:posOffset>-633730</wp:posOffset>
                      </wp:positionH>
                      <wp:positionV relativeFrom="paragraph">
                        <wp:posOffset>845185</wp:posOffset>
                      </wp:positionV>
                      <wp:extent cx="1214755" cy="470535"/>
                      <wp:effectExtent l="26670" t="11430" r="27305" b="10160"/>
                      <wp:wrapNone/>
                      <wp:docPr id="1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4640" cy="47052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val="de-DE" w:bidi="he-IL"/>
                                    </w:rPr>
                                    <w:t>ok ?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white" stroked="t" o:allowincell="t" style="position:absolute;margin-left:-49.9pt;margin-top:66.55pt;width:95.6pt;height:37pt;mso-wrap-style:square;v-text-anchor:top" type="_x0000_t4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val="de-DE" w:bidi="he-IL"/>
                              </w:rPr>
                              <w:t>ok ?</w:t>
                            </w:r>
                          </w:p>
                        </w:txbxContent>
                      </v:textbox>
                      <v:fill o:detectmouseclick="t" type="solid" color2="black"/>
                      <v:stroke color="black" weight="1908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не</w:t>
            </w:r>
          </w:p>
        </w:tc>
        <w:tc>
          <w:tcPr>
            <w:tcW w:w="1701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800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  <w:t>У, ОБЗР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0"/>
                <w:lang w:val="ru-RU"/>
              </w:rPr>
              <w:t xml:space="preserve"> </w:t>
            </w:r>
            <w:r>
              <w:rPr>
                <w:sz w:val="20"/>
                <w:lang w:val="bg-BG"/>
              </w:rPr>
              <w:t>П</w:t>
            </w:r>
            <w:r>
              <w:rPr>
                <w:rFonts w:cs="Arial" w:ascii="Arial" w:hAnsi="Arial"/>
                <w:sz w:val="20"/>
                <w:lang w:val="en-GB"/>
              </w:rPr>
              <w:t>3: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bg-BG"/>
              </w:rPr>
              <w:t>Оценка на риска на работното място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 w:eastAsia="bg-BG" w:bidi="ar-SA"/>
              </w:rPr>
            </w:pPr>
            <w:r>
              <w:rPr>
                <w:rFonts w:cs="Arial" w:ascii="Arial" w:hAnsi="Arial"/>
                <w:sz w:val="22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67945</wp:posOffset>
                      </wp:positionV>
                      <wp:extent cx="982980" cy="0"/>
                      <wp:effectExtent l="0" t="38100" r="0" b="38100"/>
                      <wp:wrapNone/>
                      <wp:docPr id="1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983160" cy="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1.2pt,5.35pt" to="76.15pt,5.35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81" w:leader="none"/>
              </w:tabs>
              <w:snapToGrid w:val="false"/>
              <w:rPr>
                <w:rFonts w:ascii="Arial" w:hAnsi="Arial" w:cs="Arial"/>
                <w:sz w:val="22"/>
                <w:lang w:val="ru-RU" w:eastAsia="bg-BG" w:bidi="ar-SA"/>
              </w:rPr>
            </w:pPr>
            <w:r>
              <w:rPr>
                <w:rFonts w:cs="Arial" w:ascii="Arial" w:hAnsi="Arial"/>
                <w:sz w:val="22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509905</wp:posOffset>
                      </wp:positionH>
                      <wp:positionV relativeFrom="paragraph">
                        <wp:posOffset>67945</wp:posOffset>
                      </wp:positionV>
                      <wp:extent cx="2540" cy="450215"/>
                      <wp:effectExtent l="9525" t="635" r="9525" b="635"/>
                      <wp:wrapNone/>
                      <wp:docPr id="1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" cy="45036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15pt,5.35pt" to="40.3pt,40.75pt" stroked="t" o:allowincell="t" style="position:absolute">
                      <v:stroke color="black" weight="190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59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927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ru-RU" w:eastAsia="bg-BG"/>
              </w:rPr>
            </w:pPr>
            <w:r>
              <w:rPr>
                <w:rFonts w:cs="Arial" w:ascii="Arial" w:hAnsi="Arial"/>
                <w:sz w:val="22"/>
                <w:lang w:val="ru-RU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П4:</w:t>
            </w:r>
          </w:p>
        </w:tc>
        <w:tc>
          <w:tcPr>
            <w:tcW w:w="106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063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US" w:eastAsia="bg-BG" w:bidi="ar-SA"/>
              </w:rPr>
            </w:pPr>
            <w:r>
              <w:rPr>
                <w:rFonts w:cs="Arial" w:ascii="Arial" w:hAnsi="Arial"/>
                <w:sz w:val="20"/>
                <w:lang w:val="en-US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23" behindDoc="0" locked="0" layoutInCell="1" allowOverlap="1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657860</wp:posOffset>
                      </wp:positionV>
                      <wp:extent cx="5715" cy="219075"/>
                      <wp:effectExtent l="34925" t="635" r="36195" b="0"/>
                      <wp:wrapNone/>
                      <wp:docPr id="1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0" cy="21924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1.85pt,51.8pt" to="-1.45pt,69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  <w:lang w:val="bg-BG"/>
              </w:rPr>
              <w:t>не</w:t>
            </w:r>
          </w:p>
        </w:tc>
        <w:tc>
          <w:tcPr>
            <w:tcW w:w="170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rFonts w:cs="Arial" w:ascii="Arial" w:hAnsi="Arial"/>
                <w:sz w:val="20"/>
                <w:lang w:val="bg-BG"/>
              </w:rPr>
              <w:t>Избиране на мероприятията</w:t>
            </w:r>
            <w:r>
              <w:rPr>
                <w:rFonts w:cs="Arial" w:ascii="Arial" w:hAnsi="Arial"/>
                <w:sz w:val="20"/>
                <w:lang w:val="ru-RU"/>
              </w:rPr>
              <w:t xml:space="preserve"> (</w:t>
            </w:r>
            <w:r>
              <w:rPr>
                <w:rFonts w:cs="Arial" w:ascii="Arial" w:hAnsi="Arial"/>
                <w:sz w:val="20"/>
                <w:lang w:val="bg-BG"/>
              </w:rPr>
              <w:t>Какво</w:t>
            </w:r>
            <w:r>
              <w:rPr>
                <w:rFonts w:cs="Arial" w:ascii="Arial" w:hAnsi="Arial"/>
                <w:sz w:val="20"/>
                <w:lang w:val="ru-RU"/>
              </w:rPr>
              <w:t xml:space="preserve">? </w:t>
            </w:r>
            <w:r>
              <w:rPr>
                <w:rFonts w:cs="Arial" w:ascii="Arial" w:hAnsi="Arial"/>
                <w:sz w:val="20"/>
                <w:lang w:val="bg-BG"/>
              </w:rPr>
              <w:t>Кога</w:t>
            </w:r>
            <w:r>
              <w:rPr>
                <w:rFonts w:cs="Arial" w:ascii="Arial" w:hAnsi="Arial"/>
                <w:sz w:val="20"/>
                <w:lang w:val="ru-RU"/>
              </w:rPr>
              <w:t xml:space="preserve">? </w:t>
            </w:r>
            <w:r>
              <w:rPr>
                <w:rFonts w:cs="Arial" w:ascii="Arial" w:hAnsi="Arial"/>
                <w:sz w:val="20"/>
                <w:lang w:val="bg-BG"/>
              </w:rPr>
              <w:t>Кой</w:t>
            </w:r>
            <w:r>
              <w:rPr>
                <w:rFonts w:cs="Arial" w:ascii="Arial" w:hAnsi="Arial"/>
                <w:sz w:val="20"/>
              </w:rPr>
              <w:t>?)</w:t>
            </w:r>
          </w:p>
        </w:tc>
        <w:tc>
          <w:tcPr>
            <w:tcW w:w="2594" w:type="dxa"/>
            <w:vMerge w:val="restart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bg-BG"/>
              </w:rPr>
              <w:t>ОП</w:t>
            </w:r>
            <w:r>
              <w:rPr>
                <w:rFonts w:cs="Arial" w:ascii="Arial" w:hAnsi="Arial"/>
                <w:sz w:val="20"/>
                <w:lang w:val="ru-RU"/>
              </w:rPr>
              <w:t>3-01</w:t>
            </w:r>
            <w:r>
              <w:rPr>
                <w:rFonts w:cs="Arial" w:ascii="Arial" w:hAnsi="Arial"/>
                <w:sz w:val="20"/>
                <w:lang w:val="bg-BG"/>
              </w:rPr>
              <w:t xml:space="preserve"> Управление на персонала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20"/>
                <w:lang w:val="bg-BG"/>
              </w:rPr>
              <w:t>Ф5-0</w:t>
            </w:r>
            <w:r>
              <w:rPr>
                <w:rFonts w:cs="Arial" w:ascii="Arial" w:hAnsi="Arial"/>
                <w:sz w:val="20"/>
              </w:rPr>
              <w:t>4</w:t>
            </w:r>
            <w:r>
              <w:rPr>
                <w:rFonts w:cs="Arial" w:ascii="Arial" w:hAnsi="Arial"/>
                <w:sz w:val="20"/>
                <w:lang w:val="bg-BG"/>
              </w:rPr>
              <w:t xml:space="preserve"> Протокол с корекциите и подобренията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Ф3-07 – “Личен картон на лице”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Ф3-05 – Обходен лист</w:t>
            </w:r>
          </w:p>
        </w:tc>
      </w:tr>
      <w:tr>
        <w:trPr>
          <w:trHeight w:val="319" w:hRule="atLeast"/>
          <w:cantSplit/>
        </w:trPr>
        <w:tc>
          <w:tcPr>
            <w:tcW w:w="1913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ru-RU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ru-RU"/>
              </w:rPr>
              <w:t>Сч, НТОМП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2126" w:type="dxa"/>
            <w:gridSpan w:val="2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20"/>
                <w:lang w:val="ru-RU"/>
              </w:rPr>
              <w:t xml:space="preserve">           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594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19" w:hRule="atLeast"/>
          <w:cantSplit/>
        </w:trPr>
        <w:tc>
          <w:tcPr>
            <w:tcW w:w="191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 w:eastAsia="bg-BG"/>
              </w:rPr>
            </w:pPr>
            <w:r>
              <w:rPr>
                <w:rFonts w:cs="Arial" w:ascii="Arial" w:hAnsi="Arial"/>
                <w:sz w:val="22"/>
                <w:lang w:val="bg-BG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shd w:fill="00FFFF" w:val="clear"/>
                <w:lang w:val="bg-BG"/>
              </w:rPr>
              <w:t>Информация до сътрудниците</w:t>
            </w:r>
          </w:p>
        </w:tc>
        <w:tc>
          <w:tcPr>
            <w:tcW w:w="709" w:type="dxa"/>
            <w:tcBorders>
              <w:start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594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19" w:hRule="atLeast"/>
          <w:cantSplit/>
        </w:trPr>
        <w:tc>
          <w:tcPr>
            <w:tcW w:w="191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 w:eastAsia="bg-BG"/>
              </w:rPr>
            </w:pPr>
            <w:r>
              <w:rPr>
                <w:rFonts w:cs="Arial" w:ascii="Arial" w:hAnsi="Arial"/>
                <w:sz w:val="22"/>
                <w:lang w:val="bg-BG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US" w:eastAsia="bg-BG" w:bidi="ar-SA"/>
              </w:rPr>
            </w:pPr>
            <w:r>
              <w:rPr>
                <w:rFonts w:cs="Arial" w:ascii="Arial" w:hAnsi="Arial"/>
                <w:sz w:val="20"/>
                <w:lang w:val="en-US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24" behindDoc="0" locked="0" layoutInCell="1" allowOverlap="1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-17145</wp:posOffset>
                      </wp:positionV>
                      <wp:extent cx="3810" cy="196215"/>
                      <wp:effectExtent l="36830" t="635" r="36195" b="0"/>
                      <wp:wrapNone/>
                      <wp:docPr id="1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960" cy="19620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9.5pt,-1.35pt" to="49.75pt,14.05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594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96" w:hRule="atLeast"/>
          <w:cantSplit/>
        </w:trPr>
        <w:tc>
          <w:tcPr>
            <w:tcW w:w="191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67" w:type="dxa"/>
            <w:vMerge w:val="restart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126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bg-BG"/>
              </w:rPr>
              <w:t>Документиране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850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594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152" w:hRule="atLeast"/>
          <w:cantSplit/>
        </w:trPr>
        <w:tc>
          <w:tcPr>
            <w:tcW w:w="191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567" w:type="dxa"/>
            <w:vMerge w:val="continue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126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850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594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0" w:hRule="atLeast"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 w:eastAsia="bg-BG"/>
              </w:rPr>
            </w:pPr>
            <w:r>
              <w:rPr>
                <w:rFonts w:cs="Arial" w:ascii="Arial" w:hAnsi="Arial"/>
                <w:sz w:val="22"/>
                <w:lang w:val="bg-BG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1063" w:type="dxa"/>
            <w:tcBorders>
              <w:bottom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US" w:eastAsia="bg-BG" w:bidi="ar-SA"/>
              </w:rPr>
            </w:pPr>
            <w:r>
              <w:rPr>
                <w:rFonts w:cs="Arial" w:ascii="Arial" w:hAnsi="Arial"/>
                <w:sz w:val="22"/>
                <w:lang w:val="en-US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22" behindDoc="0" locked="0" layoutInCell="1" allowOverlap="1">
                      <wp:simplePos x="0" y="0"/>
                      <wp:positionH relativeFrom="column">
                        <wp:posOffset>605790</wp:posOffset>
                      </wp:positionH>
                      <wp:positionV relativeFrom="paragraph">
                        <wp:posOffset>-11430</wp:posOffset>
                      </wp:positionV>
                      <wp:extent cx="635" cy="187325"/>
                      <wp:effectExtent l="38100" t="635" r="38100" b="635"/>
                      <wp:wrapNone/>
                      <wp:docPr id="2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720" cy="18720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7.7pt,-0.9pt" to="47.7pt,13.8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063" w:type="dxa"/>
            <w:tcBorders>
              <w:bottom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850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594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544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ПК</w:t>
            </w:r>
          </w:p>
        </w:tc>
        <w:tc>
          <w:tcPr>
            <w:tcW w:w="567" w:type="dxa"/>
            <w:tcBorders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0"/>
                <w:lang w:val="bg-BG"/>
              </w:rPr>
              <w:t>Документ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lang w:val="en-US" w:eastAsia="bg-BG" w:bidi="ar-SA"/>
              </w:rPr>
            </w:pPr>
            <w:r>
              <w:rPr>
                <w:rFonts w:cs="Arial" w:ascii="Arial" w:hAnsi="Arial"/>
                <w:sz w:val="20"/>
                <w:lang w:val="en-US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6" behindDoc="0" locked="0" layoutInCell="1" allowOverlap="1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247650</wp:posOffset>
                      </wp:positionV>
                      <wp:extent cx="914400" cy="297180"/>
                      <wp:effectExtent l="9525" t="9525" r="10160" b="10160"/>
                      <wp:wrapNone/>
                      <wp:docPr id="2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297360"/>
                              </a:xfrm>
                              <a:prstGeom prst="ellipse">
                                <a:avLst/>
                              </a:prstGeom>
                              <a:noFill/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18"/>
                                      <w:szCs w:val="20"/>
                                      <w:lang w:val="bg-BG" w:bidi="he-IL"/>
                                    </w:rPr>
                                    <w:t>Край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10.75pt;margin-top:19.5pt;width:71.95pt;height:23.35pt;mso-wrap-style:square;v-text-anchor:top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18"/>
                                <w:szCs w:val="20"/>
                                <w:lang w:val="bg-BG" w:bidi="he-IL"/>
                              </w:rPr>
                              <w:t>Край</w:t>
                            </w:r>
                          </w:p>
                        </w:txbxContent>
                      </v:textbox>
                      <v:fill o:detectmouseclick="t" on="false"/>
                      <v:stroke color="black" weight="19080" joinstyle="miter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distT="0" distB="0" distL="114935" distR="114935" simplePos="0" relativeHeight="7" behindDoc="0" locked="0" layoutInCell="1" allowOverlap="1">
                      <wp:simplePos x="0" y="0"/>
                      <wp:positionH relativeFrom="column">
                        <wp:posOffset>624840</wp:posOffset>
                      </wp:positionH>
                      <wp:positionV relativeFrom="paragraph">
                        <wp:posOffset>92710</wp:posOffset>
                      </wp:positionV>
                      <wp:extent cx="3810" cy="177800"/>
                      <wp:effectExtent l="36195" t="635" r="36830" b="0"/>
                      <wp:wrapNone/>
                      <wp:docPr id="2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60" cy="17784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9.2pt,7.3pt" to="49.45pt,21.2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>
              <w:start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lang w:val="en-US" w:eastAsia="bg-BG" w:bidi="ar-SA"/>
              </w:rPr>
            </w:pPr>
            <w:r>
              <w:rPr>
                <w:rFonts w:cs="Arial" w:ascii="Arial" w:hAnsi="Arial"/>
                <w:sz w:val="22"/>
                <w:lang w:val="en-US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8" behindDoc="0" locked="0" layoutInCell="1" allowOverlap="1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83820</wp:posOffset>
                      </wp:positionV>
                      <wp:extent cx="1480820" cy="0"/>
                      <wp:effectExtent l="0" t="38100" r="0" b="38100"/>
                      <wp:wrapNone/>
                      <wp:docPr id="2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0680" cy="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prstDash val="sysDot"/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3.1pt,6.6pt" to="113.45pt,6.6pt" stroked="t" o:allowincell="t" style="position:absolute">
                      <v:stroke color="black" weight="19080" dashstyle="shortdot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701" w:type="dxa"/>
            <w:gridSpan w:val="2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bg-BG"/>
              </w:rPr>
              <w:t>ОП</w:t>
            </w:r>
            <w:r>
              <w:rPr>
                <w:rFonts w:cs="Arial" w:ascii="Arial" w:hAnsi="Arial"/>
                <w:sz w:val="20"/>
              </w:rPr>
              <w:t>1-02</w:t>
            </w:r>
            <w:r>
              <w:rPr>
                <w:rFonts w:cs="Arial" w:ascii="Arial" w:hAnsi="Arial"/>
                <w:sz w:val="20"/>
                <w:lang w:val="bg-BG"/>
              </w:rPr>
              <w:t xml:space="preserve"> Управление</w:t>
            </w:r>
            <w:r>
              <w:rPr>
                <w:rFonts w:cs="Arial" w:ascii="Arial" w:hAnsi="Arial"/>
                <w:sz w:val="20"/>
              </w:rPr>
              <w:t xml:space="preserve"> </w:t>
            </w:r>
            <w:r>
              <w:rPr>
                <w:rFonts w:cs="Arial" w:ascii="Arial" w:hAnsi="Arial"/>
                <w:sz w:val="20"/>
                <w:lang w:val="bg-BG"/>
              </w:rPr>
              <w:t>на записите</w:t>
            </w:r>
          </w:p>
        </w:tc>
      </w:tr>
      <w:tr>
        <w:trPr>
          <w:trHeight w:val="648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701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</w:tr>
    </w:tbl>
    <w:p>
      <w:pPr>
        <w:pStyle w:val="Normal"/>
        <w:rPr>
          <w:rFonts w:ascii="Arial" w:hAnsi="Arial" w:cs="Arial"/>
          <w:lang w:val="bg-BG"/>
        </w:rPr>
      </w:pPr>
      <w:r>
        <w:rPr>
          <w:rFonts w:cs="Arial" w:ascii="Arial" w:hAnsi="Arial"/>
          <w:lang w:val="bg-BG"/>
        </w:rPr>
      </w:r>
    </w:p>
    <w:p>
      <w:pPr>
        <w:pStyle w:val="Normal"/>
        <w:rPr>
          <w:rFonts w:ascii="Arial" w:hAnsi="Arial" w:cs="Arial"/>
          <w:lang w:val="bg-BG"/>
        </w:rPr>
      </w:pPr>
      <w:r>
        <w:rPr>
          <w:rFonts w:cs="Arial" w:ascii="Arial" w:hAnsi="Arial"/>
          <w:lang w:val="bg-BG"/>
        </w:rPr>
      </w:r>
    </w:p>
    <w:p>
      <w:pPr>
        <w:pStyle w:val="Normal"/>
        <w:rPr>
          <w:rFonts w:ascii="Arial" w:hAnsi="Arial" w:cs="Arial"/>
          <w:lang w:val="bg-BG"/>
        </w:rPr>
      </w:pPr>
      <w:r>
        <w:rPr>
          <w:rFonts w:cs="Arial" w:ascii="Arial" w:hAnsi="Arial"/>
          <w:lang w:val="bg-BG"/>
        </w:rPr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204"/>
        <w:gridCol w:w="8008"/>
      </w:tblGrid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lang w:val="bg-BG"/>
              </w:rPr>
              <w:t>Процес</w:t>
            </w:r>
            <w:r>
              <w:rPr>
                <w:rFonts w:cs="Arial" w:ascii="Arial" w:hAnsi="Arial"/>
                <w:b/>
              </w:rPr>
              <w:t>-</w:t>
            </w:r>
            <w:r>
              <w:rPr>
                <w:rFonts w:cs="Arial" w:ascii="Arial" w:hAnsi="Arial"/>
                <w:b/>
                <w:lang w:val="bg-BG"/>
              </w:rPr>
              <w:t>стъпка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Ko</w:t>
            </w:r>
            <w:r>
              <w:rPr>
                <w:rFonts w:cs="Arial" w:ascii="Arial" w:hAnsi="Arial"/>
                <w:b/>
                <w:lang w:val="bg-BG"/>
              </w:rPr>
              <w:t>ментар</w:t>
            </w:r>
            <w:r>
              <w:rPr>
                <w:rFonts w:cs="Arial" w:ascii="Arial" w:hAnsi="Arial"/>
                <w:b/>
              </w:rPr>
              <w:t>/</w:t>
            </w:r>
            <w:r>
              <w:rPr>
                <w:rFonts w:cs="Arial" w:ascii="Arial" w:hAnsi="Arial"/>
                <w:b/>
                <w:lang w:val="bg-BG"/>
              </w:rPr>
              <w:t xml:space="preserve"> Обяснение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П1: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22"/>
                <w:lang w:val="ru-RU"/>
              </w:rPr>
            </w:pPr>
            <w:r>
              <w:rPr>
                <w:rFonts w:cs="Arial" w:ascii="Arial" w:hAnsi="Arial"/>
                <w:bCs/>
                <w:sz w:val="22"/>
                <w:lang w:val="bg-BG"/>
              </w:rPr>
              <w:t>Поне веднъж годишно респ. според законовите разпоредби</w:t>
            </w:r>
            <w:r>
              <w:rPr>
                <w:rFonts w:cs="Arial" w:ascii="Arial" w:hAnsi="Arial"/>
                <w:bCs/>
                <w:sz w:val="22"/>
                <w:lang w:val="ru-RU"/>
              </w:rPr>
              <w:t xml:space="preserve"> </w:t>
            </w:r>
            <w:r>
              <w:rPr>
                <w:rFonts w:cs="Arial" w:ascii="Arial" w:hAnsi="Arial"/>
                <w:bCs/>
                <w:sz w:val="22"/>
                <w:lang w:val="bg-BG"/>
              </w:rPr>
              <w:t xml:space="preserve">се провежда </w:t>
            </w:r>
            <w:r>
              <w:rPr>
                <w:rFonts w:cs="Arial" w:ascii="Arial" w:hAnsi="Arial"/>
                <w:bCs/>
                <w:sz w:val="22"/>
                <w:lang w:val="eu-ES"/>
              </w:rPr>
              <w:t xml:space="preserve">планирана </w:t>
            </w:r>
            <w:r>
              <w:rPr>
                <w:rFonts w:cs="Arial" w:ascii="Arial" w:hAnsi="Arial"/>
                <w:bCs/>
                <w:sz w:val="22"/>
                <w:lang w:val="bg-BG"/>
              </w:rPr>
              <w:t>проверка на машините и инфраструктурата, за да се приспособи при необходимост оборудването с оглед на изискванията на клиентите, техническите новости и регулиране и в съответствие със собствените цели</w:t>
            </w:r>
            <w:r>
              <w:rPr>
                <w:rFonts w:cs="Arial" w:ascii="Arial" w:hAnsi="Arial"/>
                <w:bCs/>
                <w:sz w:val="22"/>
                <w:lang w:val="ru-RU"/>
              </w:rPr>
              <w:t>.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  <w:lang w:val="bg-BG"/>
              </w:rPr>
              <w:t>П2: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both"/>
              <w:rPr/>
            </w:pPr>
            <w:r>
              <w:rPr>
                <w:rFonts w:cs="Arial"/>
                <w:bCs/>
                <w:sz w:val="22"/>
                <w:lang w:val="bg-BG"/>
              </w:rPr>
              <w:t>Поддръжката на оборудването се извършва по план, съгласно заложения в началото на всяка календарна година от техник-механик и началник техническо обслужване на машинен парк (НТОМП) Ф3-11 „Годишен план за профилактика на оборудването” и се осъществява чрез Инструкции за техническо обслужване на съответните машини, описани в техническите им паспорти и ръководствата им за експлоатация и техническо обслужване. В инструкциите са описани подробно конкретните мерки и методи, както и периода и обхвата на профилактиката и ремонта. Във Ф3-08 „Дневник за текущи ремонти на оборудването” от техник-механик се отчитат всички възникнали извънредни и непланирани ремонти за вс</w:t>
            </w:r>
            <w:r>
              <w:rPr>
                <w:rFonts w:cs="Arial"/>
                <w:bCs/>
                <w:sz w:val="22"/>
                <w:lang w:val="en-US"/>
              </w:rPr>
              <w:t>e</w:t>
            </w:r>
            <w:r>
              <w:rPr>
                <w:rFonts w:cs="Arial"/>
                <w:bCs/>
                <w:sz w:val="22"/>
                <w:lang w:val="bg-BG"/>
              </w:rPr>
              <w:t xml:space="preserve">ки ел. ръчно преносим инструмент. Във Ф3-09 „Личен картон на съоръжение от постоянен машинен парк“ се отразяват всички възникнали дейности по ремонт и поддръжка на машините и тежката механизация. Машините и тежката механизация се завеждат с инвентарните си номера във Ф3-04б „Списък на машинния парк”. Леката механизация се проверява ежемесечно и резултатите от проверката се документират в Ф3-10 „Дневник за състоянието на леката механизация”. Регистрирането и движението на леката механизация се документира с Ф3-04 „Регистър лека механизация”, като всеки един ел. инструмент има собствен такъв формуляр, в който се отчита при кой служител се намира. Движението на фирмените МПС се документира със стандартна бланка Пътен лист, съгласно Наредба 33/03.11.99 на министерство на транспорта /ДВ., бр. 101/99г./. Графикът за периодични ремонти на всяко МПС се води от Отговорник транспорт (ОТ) в специализирания софтуер за управление на транспортна дейност, който на база на изминати километри предвижда последваща поддръжка. Извънплановите ремонти също се завеждат към файла на съответното МПС в програмата. Периодично се съставя отчет за извършена работа на МПС от програмата, който служи за последващ анализ на дейността и ефективността на ресурсите. </w:t>
            </w:r>
          </w:p>
          <w:p>
            <w:pPr>
              <w:pStyle w:val="BodyText"/>
              <w:jc w:val="both"/>
              <w:rPr>
                <w:rFonts w:cs="Arial"/>
                <w:bCs/>
                <w:sz w:val="22"/>
                <w:lang w:val="ru-RU"/>
              </w:rPr>
            </w:pPr>
            <w:r>
              <w:rPr>
                <w:rFonts w:cs="Arial"/>
                <w:bCs/>
                <w:sz w:val="22"/>
                <w:lang w:val="bg-BG"/>
              </w:rPr>
              <w:t xml:space="preserve">При констатиране на повреди или възникване на аварии се съставя Ф5-03 – “Доклад за несъответствие”. В същия се определя и разпореждането за вземане на необходимите мерки за отстраняване на повредата или аварията, коригиращи и превантивни действия. Всички документи за ремонт на машини се съхраняват в Досиета на машините.    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П3</w:t>
            </w:r>
            <w:r>
              <w:rPr>
                <w:rFonts w:cs="Arial" w:ascii="Arial" w:hAnsi="Arial"/>
                <w:sz w:val="22"/>
              </w:rPr>
              <w:t>: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both"/>
              <w:rPr/>
            </w:pPr>
            <w:r>
              <w:rPr>
                <w:rFonts w:cs="Arial"/>
                <w:bCs/>
                <w:iCs/>
                <w:sz w:val="22"/>
                <w:lang w:val="bg-BG"/>
              </w:rPr>
              <w:t>Закона за здравословни и безопасни условия на труд предписва за всяко работно място да бъде направена оценка на риска</w:t>
            </w:r>
            <w:r>
              <w:rPr>
                <w:rFonts w:cs="Arial"/>
                <w:bCs/>
                <w:iCs/>
                <w:sz w:val="22"/>
                <w:lang w:val="ru-RU"/>
              </w:rPr>
              <w:t xml:space="preserve">. </w:t>
            </w:r>
            <w:r>
              <w:rPr>
                <w:rFonts w:cs="Arial"/>
                <w:bCs/>
                <w:iCs/>
                <w:sz w:val="22"/>
                <w:lang w:val="bg-BG"/>
              </w:rPr>
              <w:t>Същевременно това представлява проверка на изискванията по охрана на труда</w:t>
            </w:r>
            <w:r>
              <w:rPr>
                <w:rFonts w:cs="Arial"/>
                <w:bCs/>
                <w:iCs/>
                <w:sz w:val="22"/>
                <w:lang w:val="ru-RU"/>
              </w:rPr>
              <w:t xml:space="preserve">. </w:t>
            </w:r>
            <w:r>
              <w:rPr>
                <w:rFonts w:cs="Arial"/>
                <w:bCs/>
                <w:iCs/>
                <w:sz w:val="22"/>
                <w:lang w:val="bg-BG"/>
              </w:rPr>
              <w:t xml:space="preserve">В основата са залегнали спазването на законовите и </w:t>
            </w:r>
            <w:r>
              <w:rPr>
                <w:rFonts w:cs="Arial"/>
                <w:bCs/>
                <w:iCs/>
                <w:sz w:val="22"/>
                <w:lang w:val="ru-RU"/>
              </w:rPr>
              <w:t xml:space="preserve"> </w:t>
            </w:r>
            <w:r>
              <w:rPr>
                <w:rFonts w:cs="Arial"/>
                <w:bCs/>
                <w:iCs/>
                <w:sz w:val="22"/>
                <w:lang w:val="bg-BG"/>
              </w:rPr>
              <w:t>професионални изискванията към нашите работни места</w:t>
            </w:r>
            <w:r>
              <w:rPr>
                <w:rFonts w:cs="Arial"/>
                <w:bCs/>
                <w:iCs/>
                <w:sz w:val="22"/>
                <w:lang w:val="ru-RU"/>
              </w:rPr>
              <w:t>,</w:t>
            </w:r>
            <w:r>
              <w:rPr>
                <w:rFonts w:cs="Arial"/>
                <w:bCs/>
                <w:iCs/>
                <w:sz w:val="22"/>
                <w:lang w:val="bg-BG"/>
              </w:rPr>
              <w:t xml:space="preserve"> както и достатъчна защита и сигурност на нашите сътрудници</w:t>
            </w:r>
            <w:r>
              <w:rPr>
                <w:rFonts w:cs="Arial"/>
                <w:bCs/>
                <w:iCs/>
                <w:sz w:val="22"/>
                <w:lang w:val="ru-RU"/>
              </w:rPr>
              <w:t xml:space="preserve">. </w:t>
            </w:r>
            <w:r>
              <w:rPr>
                <w:rFonts w:cs="Arial"/>
                <w:bCs/>
                <w:iCs/>
                <w:sz w:val="22"/>
                <w:lang w:val="bg-BG"/>
              </w:rPr>
              <w:t>Ето защо за всички</w:t>
            </w:r>
            <w:r>
              <w:rPr>
                <w:rFonts w:cs="Arial"/>
                <w:bCs/>
                <w:iCs/>
                <w:sz w:val="22"/>
                <w:lang w:val="ru-RU"/>
              </w:rPr>
              <w:t xml:space="preserve"> </w:t>
            </w:r>
            <w:r>
              <w:rPr>
                <w:rFonts w:cs="Arial"/>
                <w:bCs/>
                <w:iCs/>
                <w:sz w:val="22"/>
                <w:lang w:val="bg-BG"/>
              </w:rPr>
              <w:t>работни места е изготвена оценка на риска и тя се обновява, тогава когато настъпят нови обстоятелства, различни от оценяваните за всяко конкретно работно място.</w:t>
            </w:r>
            <w:r>
              <w:rPr>
                <w:rFonts w:cs="Arial"/>
                <w:bCs/>
                <w:iCs/>
                <w:sz w:val="22"/>
                <w:lang w:val="ru-RU"/>
              </w:rPr>
              <w:t xml:space="preserve"> </w:t>
            </w:r>
          </w:p>
          <w:p>
            <w:pPr>
              <w:pStyle w:val="BodyText"/>
              <w:jc w:val="both"/>
              <w:rPr>
                <w:rFonts w:cs="Arial"/>
                <w:bCs/>
                <w:iCs/>
                <w:sz w:val="22"/>
                <w:lang w:val="bg-BG"/>
              </w:rPr>
            </w:pPr>
            <w:r>
              <w:rPr>
                <w:rFonts w:cs="Arial"/>
                <w:bCs/>
                <w:iCs/>
                <w:sz w:val="22"/>
                <w:lang w:val="ru-RU"/>
              </w:rPr>
              <w:t xml:space="preserve"> </w:t>
            </w:r>
            <w:r>
              <w:rPr>
                <w:rFonts w:cs="Arial"/>
                <w:bCs/>
                <w:iCs/>
                <w:sz w:val="22"/>
                <w:lang w:val="bg-BG"/>
              </w:rPr>
              <w:t>Ако се констатират отклонения от общоприетите разпореждания по сигурността, те се документират в плана с мероприятията и накрая се отстраняват</w:t>
            </w:r>
            <w:r>
              <w:rPr>
                <w:rFonts w:cs="Arial"/>
                <w:bCs/>
                <w:iCs/>
                <w:sz w:val="22"/>
                <w:lang w:val="ru-RU"/>
              </w:rPr>
              <w:t xml:space="preserve">. </w:t>
            </w:r>
            <w:r>
              <w:rPr>
                <w:rFonts w:cs="Arial"/>
                <w:bCs/>
                <w:iCs/>
                <w:sz w:val="22"/>
                <w:lang w:val="bg-BG"/>
              </w:rPr>
              <w:t>При това се съблюдава мероприятията за отстраняване на нередностите, да са съобразени с обхвата на проблема и да са икономически приемливи</w:t>
            </w:r>
            <w:r>
              <w:rPr>
                <w:rFonts w:cs="Arial"/>
                <w:bCs/>
                <w:iCs/>
                <w:sz w:val="22"/>
                <w:lang w:val="ru-RU"/>
              </w:rPr>
              <w:t xml:space="preserve">. </w:t>
            </w:r>
          </w:p>
        </w:tc>
      </w:tr>
      <w:tr>
        <w:trPr/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4:</w:t>
            </w:r>
          </w:p>
        </w:tc>
        <w:tc>
          <w:tcPr>
            <w:tcW w:w="8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i/>
                <w:iCs/>
                <w:sz w:val="22"/>
                <w:lang w:val="ru-RU"/>
              </w:rPr>
            </w:pPr>
            <w:r>
              <w:rPr>
                <w:rFonts w:cs="Arial" w:ascii="Arial" w:hAnsi="Arial"/>
                <w:sz w:val="22"/>
                <w:lang w:val="bg-BG"/>
              </w:rPr>
              <w:t>Оценката на риска се прави по принцип заедно със засегнатите сътрудници</w:t>
            </w:r>
            <w:r>
              <w:rPr>
                <w:rFonts w:cs="Arial" w:ascii="Arial" w:hAnsi="Arial"/>
                <w:sz w:val="22"/>
                <w:lang w:val="ru-RU"/>
              </w:rPr>
              <w:t xml:space="preserve">. </w:t>
            </w:r>
            <w:r>
              <w:rPr>
                <w:rFonts w:cs="Arial" w:ascii="Arial" w:hAnsi="Arial"/>
                <w:sz w:val="22"/>
                <w:lang w:val="bg-BG"/>
              </w:rPr>
              <w:t>Като мероприятия трябва да се разглеждат не само последващите подобрения, но и изготвянето на</w:t>
            </w:r>
            <w:r>
              <w:rPr>
                <w:rFonts w:cs="Arial" w:ascii="Arial" w:hAnsi="Arial"/>
                <w:sz w:val="22"/>
                <w:lang w:val="ru-RU"/>
              </w:rPr>
              <w:t xml:space="preserve"> </w:t>
            </w:r>
            <w:r>
              <w:rPr>
                <w:rFonts w:cs="Arial" w:ascii="Arial" w:hAnsi="Arial"/>
                <w:sz w:val="22"/>
                <w:lang w:val="bg-BG"/>
              </w:rPr>
              <w:t>указания за експлоатация на машините и инструктаж на сътрудниците</w:t>
            </w:r>
            <w:r>
              <w:rPr>
                <w:rFonts w:cs="Arial" w:ascii="Arial" w:hAnsi="Arial"/>
                <w:sz w:val="22"/>
                <w:lang w:val="ru-RU"/>
              </w:rPr>
              <w:t>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W w:w="9644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541"/>
      </w:tblGrid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22"/>
                <w:lang w:val="bg-BG"/>
              </w:rPr>
              <w:t>Дата: 12.01.2026г.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22"/>
                <w:lang w:val="bg-BG"/>
              </w:rPr>
              <w:t>Дата: 12.01.2026г.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360" w:top="1417" w:footer="324" w:bottom="89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7371" w:leader="none"/>
      </w:tabs>
      <w:rPr/>
    </w:pPr>
    <w:r>
      <w:rPr/>
      <w:t>______________________________________________________________________________</w:t>
    </w:r>
  </w:p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850"/>
      <w:gridCol w:w="3240"/>
      <w:gridCol w:w="2122"/>
    </w:tblGrid>
    <w:tr>
      <w:trPr>
        <w:cantSplit/>
      </w:trPr>
      <w:tc>
        <w:tcPr>
          <w:tcW w:w="3850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snapToGrid w:val="false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</w:r>
        </w:p>
      </w:tc>
      <w:tc>
        <w:tcPr>
          <w:tcW w:w="3240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snapToGrid w:val="false"/>
            <w:rPr>
              <w:rStyle w:val="PageNumber"/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</w:r>
        </w:p>
      </w:tc>
      <w:tc>
        <w:tcPr>
          <w:tcW w:w="2122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Style w:val="PageNumber"/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  <w:lang w:val="bg-BG"/>
            </w:rPr>
            <w:t>Страница</w:t>
          </w:r>
          <w:r>
            <w:rPr>
              <w:rFonts w:cs="Arial" w:ascii="Arial" w:hAnsi="Arial"/>
              <w:sz w:val="20"/>
            </w:rPr>
            <w:t xml:space="preserve">  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</w:rPr>
            <w:t>3</w:t>
          </w:r>
          <w:r>
            <w:rPr>
              <w:rStyle w:val="PageNumber"/>
              <w:rFonts w:cs="Arial" w:ascii="Arial" w:hAnsi="Arial"/>
              <w:sz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</w:rPr>
            <w:t xml:space="preserve"> </w:t>
          </w:r>
          <w:r>
            <w:rPr>
              <w:rStyle w:val="PageNumber"/>
              <w:rFonts w:cs="Arial" w:ascii="Arial" w:hAnsi="Arial"/>
              <w:sz w:val="20"/>
              <w:lang w:val="bg-BG"/>
            </w:rPr>
            <w:t>от</w:t>
          </w:r>
          <w:r>
            <w:rPr>
              <w:rStyle w:val="PageNumber"/>
              <w:rFonts w:cs="Arial" w:ascii="Arial" w:hAnsi="Arial"/>
              <w:sz w:val="20"/>
            </w:rPr>
            <w:t xml:space="preserve"> 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</w:rPr>
            <w:t>3</w:t>
          </w:r>
          <w:r>
            <w:rPr>
              <w:rStyle w:val="PageNumber"/>
              <w:rFonts w:cs="Arial" w:ascii="Arial" w:hAnsi="Arial"/>
              <w:sz w:val="20"/>
            </w:rPr>
            <w:fldChar w:fldCharType="end"/>
          </w:r>
        </w:p>
      </w:tc>
    </w:tr>
    <w:tr>
      <w:trPr>
        <w:cantSplit/>
      </w:trPr>
      <w:tc>
        <w:tcPr>
          <w:tcW w:w="3850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Arial" w:hAnsi="Arial" w:cs="Arial"/>
              <w:sz w:val="20"/>
              <w:lang w:val="en-US"/>
            </w:rPr>
          </w:pPr>
          <w:r>
            <w:rPr>
              <w:rFonts w:cs="Arial" w:ascii="Arial" w:hAnsi="Arial"/>
              <w:sz w:val="20"/>
              <w:lang w:val="bg-BG"/>
            </w:rPr>
            <w:t>Ревизия 01</w:t>
          </w:r>
        </w:p>
      </w:tc>
      <w:tc>
        <w:tcPr>
          <w:tcW w:w="3240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snapToGrid w:val="false"/>
            <w:rPr>
              <w:rFonts w:ascii="Arial" w:hAnsi="Arial" w:cs="Arial"/>
              <w:sz w:val="20"/>
              <w:lang w:val="bg-BG"/>
            </w:rPr>
          </w:pPr>
          <w:r>
            <w:rPr>
              <w:rFonts w:cs="Arial" w:ascii="Arial" w:hAnsi="Arial"/>
              <w:sz w:val="20"/>
              <w:lang w:val="bg-BG"/>
            </w:rPr>
          </w:r>
        </w:p>
      </w:tc>
      <w:tc>
        <w:tcPr>
          <w:tcW w:w="2122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Arial" w:hAnsi="Arial" w:cs="Arial"/>
              <w:sz w:val="20"/>
              <w:lang w:val="bg-BG"/>
            </w:rPr>
          </w:pPr>
          <w:r>
            <w:rPr>
              <w:rFonts w:cs="Arial" w:ascii="Arial" w:hAnsi="Arial"/>
              <w:sz w:val="20"/>
              <w:lang w:val="bg-BG"/>
            </w:rPr>
            <w:t xml:space="preserve">Дата: </w:t>
          </w:r>
          <w:r>
            <w:rPr>
              <w:rFonts w:cs="Arial" w:ascii="Arial" w:hAnsi="Arial"/>
              <w:sz w:val="20"/>
            </w:rPr>
            <w:t>1</w:t>
          </w:r>
          <w:r>
            <w:rPr>
              <w:rFonts w:cs="Arial" w:ascii="Arial" w:hAnsi="Arial"/>
              <w:sz w:val="20"/>
              <w:lang w:val="bg-BG"/>
            </w:rPr>
            <w:t>2</w:t>
          </w:r>
          <w:r>
            <w:rPr>
              <w:rFonts w:cs="Arial" w:ascii="Arial" w:hAnsi="Arial"/>
              <w:sz w:val="20"/>
            </w:rPr>
            <w:t>.0</w:t>
          </w:r>
          <w:r>
            <w:rPr>
              <w:rFonts w:cs="Arial" w:ascii="Arial" w:hAnsi="Arial"/>
              <w:sz w:val="20"/>
              <w:lang w:val="en-US"/>
            </w:rPr>
            <w:t>1</w:t>
          </w:r>
          <w:r>
            <w:rPr>
              <w:rFonts w:cs="Arial" w:ascii="Arial" w:hAnsi="Arial"/>
              <w:sz w:val="20"/>
            </w:rPr>
            <w:t>.20</w:t>
          </w:r>
          <w:r>
            <w:rPr>
              <w:rFonts w:cs="Arial" w:ascii="Arial" w:hAnsi="Arial"/>
              <w:sz w:val="20"/>
              <w:lang w:val="en-US"/>
            </w:rPr>
            <w:t>2</w:t>
          </w:r>
          <w:r>
            <w:rPr>
              <w:rFonts w:cs="Arial" w:ascii="Arial" w:hAnsi="Arial"/>
              <w:sz w:val="20"/>
              <w:lang w:val="bg-BG"/>
            </w:rPr>
            <w:t>6г.</w:t>
          </w:r>
        </w:p>
      </w:tc>
    </w:tr>
  </w:tbl>
  <w:p>
    <w:pPr>
      <w:pStyle w:val="Footer"/>
      <w:tabs>
        <w:tab w:val="clear" w:pos="4536"/>
        <w:tab w:val="center" w:pos="7371" w:leader="none"/>
      </w:tabs>
      <w:rPr>
        <w:rStyle w:val="PageNumber"/>
        <w:rFonts w:ascii="Arial" w:hAnsi="Arial" w:cs="Arial"/>
        <w:sz w:val="16"/>
        <w:lang w:val="bg-BG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230"/>
      <w:gridCol w:w="5495"/>
      <w:gridCol w:w="1485"/>
    </w:tblGrid>
    <w:tr>
      <w:trPr>
        <w:trHeight w:val="646" w:hRule="atLeast"/>
        <w:cantSplit/>
      </w:trPr>
      <w:tc>
        <w:tcPr>
          <w:tcW w:w="223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szCs w:val="24"/>
              <w:lang w:val="bg-BG"/>
            </w:rPr>
          </w:pPr>
          <w:r>
            <w:rPr>
              <w:rFonts w:cs="Arial" w:ascii="Arial" w:hAnsi="Arial"/>
              <w:b/>
              <w:lang w:val="bg-BG"/>
            </w:rPr>
            <w:t>СМП ПЛЕВЕН ЕООД</w:t>
          </w:r>
        </w:p>
      </w:tc>
      <w:tc>
        <w:tcPr>
          <w:tcW w:w="54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Heading1"/>
            <w:ind w:hanging="0" w:start="0"/>
            <w:rPr>
              <w:b w:val="false"/>
            </w:rPr>
          </w:pPr>
          <w:r>
            <w:rPr>
              <w:lang w:val="bg-BG"/>
            </w:rPr>
            <w:t>Описание на процеса</w:t>
          </w:r>
        </w:p>
      </w:tc>
      <w:tc>
        <w:tcPr>
          <w:tcW w:w="148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rFonts w:cs="Arial" w:ascii="Arial" w:hAnsi="Arial"/>
              <w:lang w:val="bg-BG"/>
            </w:rPr>
            <w:t>док.ном.</w:t>
          </w:r>
          <w:r>
            <w:rPr>
              <w:rFonts w:cs="Arial" w:ascii="Arial" w:hAnsi="Arial"/>
              <w:lang w:val="it-IT"/>
            </w:rPr>
            <w:t>:</w:t>
          </w:r>
        </w:p>
        <w:p>
          <w:pPr>
            <w:pStyle w:val="Normal"/>
            <w:ind w:firstLine="70" w:start="-70" w:end="0"/>
            <w:jc w:val="center"/>
            <w:rPr>
              <w:rFonts w:ascii="Arial" w:hAnsi="Arial" w:cs="Arial"/>
              <w:sz w:val="28"/>
            </w:rPr>
          </w:pPr>
          <w:r>
            <w:rPr>
              <w:rFonts w:cs="Arial" w:ascii="Arial" w:hAnsi="Arial"/>
              <w:lang w:val="bg-BG"/>
            </w:rPr>
            <w:t>ОП</w:t>
          </w:r>
          <w:r>
            <w:rPr>
              <w:rFonts w:cs="Arial" w:ascii="Arial" w:hAnsi="Arial"/>
            </w:rPr>
            <w:t>3-02</w:t>
          </w:r>
        </w:p>
      </w:tc>
    </w:tr>
    <w:tr>
      <w:trPr>
        <w:trHeight w:val="645" w:hRule="atLeast"/>
        <w:cantSplit/>
      </w:trPr>
      <w:tc>
        <w:tcPr>
          <w:tcW w:w="223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sz w:val="28"/>
              <w:lang w:val="bg-BG"/>
            </w:rPr>
          </w:pPr>
          <w:r>
            <w:rPr>
              <w:rFonts w:cs="Arial" w:ascii="Arial" w:hAnsi="Arial"/>
              <w:sz w:val="28"/>
              <w:lang w:val="bg-BG"/>
            </w:rPr>
          </w:r>
        </w:p>
      </w:tc>
      <w:tc>
        <w:tcPr>
          <w:tcW w:w="54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Heading1"/>
            <w:ind w:hanging="0" w:start="0"/>
            <w:rPr>
              <w:lang w:val="ru-RU"/>
            </w:rPr>
          </w:pPr>
          <w:r>
            <w:rPr>
              <w:lang w:val="bg-BG"/>
            </w:rPr>
            <w:t>Управление на ресурсите</w:t>
          </w:r>
        </w:p>
        <w:p>
          <w:pPr>
            <w:pStyle w:val="Normal"/>
            <w:jc w:val="center"/>
            <w:rPr>
              <w:rFonts w:ascii="Arial" w:hAnsi="Arial" w:cs="Arial"/>
              <w:b/>
              <w:lang w:val="ru-RU"/>
            </w:rPr>
          </w:pPr>
          <w:r>
            <w:rPr>
              <w:rFonts w:cs="Arial" w:ascii="Arial" w:hAnsi="Arial"/>
              <w:b/>
              <w:lang w:val="bg-BG"/>
            </w:rPr>
            <w:t>Инфраструктурен мениджмънт</w:t>
          </w:r>
        </w:p>
      </w:tc>
      <w:tc>
        <w:tcPr>
          <w:tcW w:w="148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ind w:firstLine="70" w:start="-70" w:end="0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rFonts w:cs="Arial" w:ascii="Arial" w:hAnsi="Arial"/>
              <w:b/>
              <w:lang w:val="bg-BG"/>
            </w:rPr>
          </w:r>
        </w:p>
      </w:tc>
    </w:tr>
    <w:tr>
      <w:trPr>
        <w:cantSplit/>
      </w:trPr>
      <w:tc>
        <w:tcPr>
          <w:tcW w:w="9210" w:type="dxa"/>
          <w:gridSpan w:val="3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rPr/>
          </w:pPr>
          <w:r>
            <w:rPr>
              <w:rFonts w:cs="Arial" w:ascii="Arial" w:hAnsi="Arial"/>
              <w:b/>
              <w:lang w:val="bg-BG"/>
            </w:rPr>
            <w:t>Цел</w:t>
          </w:r>
          <w:r>
            <w:rPr>
              <w:rFonts w:cs="Arial" w:ascii="Arial" w:hAnsi="Arial"/>
              <w:b/>
              <w:lang w:val="ru-RU"/>
            </w:rPr>
            <w:t>:</w:t>
          </w:r>
          <w:r>
            <w:rPr>
              <w:rFonts w:cs="Arial" w:ascii="Arial" w:hAnsi="Arial"/>
              <w:lang w:val="ru-RU"/>
            </w:rPr>
            <w:t xml:space="preserve"> </w:t>
            <w:tab/>
            <w:tab/>
            <w:tab/>
          </w:r>
          <w:r>
            <w:rPr>
              <w:rFonts w:cs="Arial" w:ascii="Arial" w:hAnsi="Arial"/>
              <w:lang w:val="bg-BG"/>
            </w:rPr>
            <w:t xml:space="preserve">          Регламентира оценяването на работното място</w:t>
          </w:r>
          <w:r>
            <w:rPr>
              <w:rFonts w:cs="Arial" w:ascii="Arial" w:hAnsi="Arial"/>
              <w:lang w:val="ru-RU"/>
            </w:rPr>
            <w:t xml:space="preserve"> </w:t>
          </w:r>
        </w:p>
        <w:p>
          <w:pPr>
            <w:pStyle w:val="Normal"/>
            <w:rPr>
              <w:rFonts w:ascii="Arial" w:hAnsi="Arial" w:cs="Arial"/>
              <w:lang w:val="ru-RU"/>
            </w:rPr>
          </w:pPr>
          <w:r>
            <w:rPr>
              <w:rFonts w:cs="Arial" w:ascii="Arial" w:hAnsi="Arial"/>
              <w:b/>
              <w:lang w:val="bg-BG"/>
            </w:rPr>
            <w:t>Област на прилагане</w:t>
          </w:r>
          <w:r>
            <w:rPr>
              <w:rFonts w:cs="Arial" w:ascii="Arial" w:hAnsi="Arial"/>
              <w:b/>
              <w:lang w:val="ru-RU"/>
            </w:rPr>
            <w:t>:</w:t>
          </w:r>
          <w:r>
            <w:rPr>
              <w:rFonts w:cs="Arial" w:ascii="Arial" w:hAnsi="Arial"/>
              <w:lang w:val="ru-RU"/>
            </w:rPr>
            <w:t xml:space="preserve"> </w:t>
            <w:tab/>
          </w:r>
          <w:r>
            <w:rPr>
              <w:rFonts w:cs="Arial" w:ascii="Arial" w:hAnsi="Arial"/>
              <w:lang w:val="bg-BG"/>
            </w:rPr>
            <w:t xml:space="preserve">За всички работни места </w:t>
          </w:r>
        </w:p>
        <w:p>
          <w:pPr>
            <w:pStyle w:val="Normal"/>
            <w:rPr>
              <w:rFonts w:ascii="Arial" w:hAnsi="Arial" w:cs="Arial"/>
              <w:lang w:val="bg-BG"/>
            </w:rPr>
          </w:pPr>
          <w:r>
            <w:rPr>
              <w:rFonts w:cs="Arial" w:ascii="Arial" w:hAnsi="Arial"/>
              <w:b/>
              <w:lang w:val="bg-BG"/>
            </w:rPr>
            <w:t>Собственик на процесите</w:t>
          </w:r>
          <w:r>
            <w:rPr>
              <w:rFonts w:cs="Arial" w:ascii="Arial" w:hAnsi="Arial"/>
              <w:b/>
            </w:rPr>
            <w:t>:</w:t>
          </w:r>
          <w:r>
            <w:rPr>
              <w:rFonts w:cs="Arial" w:ascii="Arial" w:hAnsi="Arial"/>
            </w:rPr>
            <w:tab/>
          </w:r>
          <w:r>
            <w:rPr>
              <w:rFonts w:cs="Arial" w:ascii="Arial" w:hAnsi="Arial"/>
              <w:lang w:val="bg-BG"/>
            </w:rPr>
            <w:t>Управител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de-DE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b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Arial" w:hAnsi="Arial" w:cs="Arial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2005-10-23T20:28:00Z</dcterms:created>
  <dc:creator>Nikolaj</dc:creator>
  <dc:description/>
  <cp:keywords/>
  <dc:language>bg-BG</dc:language>
  <cp:lastModifiedBy>Георги Георгиев</cp:lastModifiedBy>
  <cp:lastPrinted>2010-01-25T08:09:00Z</cp:lastPrinted>
  <dcterms:modified xsi:type="dcterms:W3CDTF">2026-03-23T19:15:00Z</dcterms:modified>
  <cp:revision>91</cp:revision>
  <dc:subject/>
  <dc:title/>
</cp:coreProperties>
</file>