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30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992"/>
        <w:gridCol w:w="993"/>
        <w:gridCol w:w="1275"/>
        <w:gridCol w:w="284"/>
        <w:gridCol w:w="1417"/>
        <w:gridCol w:w="2889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/>
            </w:pPr>
            <w:r>
              <w:rPr>
                <w:sz w:val="22"/>
                <w:lang w:val="bg-BG"/>
              </w:rPr>
              <w:t>Отговорност на</w:t>
            </w:r>
            <w:r>
              <w:rPr/>
              <w:t xml:space="preserve">                                                                                                                                                                                                             Verantwortlich</w:t>
            </w:r>
          </w:p>
        </w:tc>
        <w:tc>
          <w:tcPr>
            <w:tcW w:w="5528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протичане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</w:rPr>
              <w:t>До</w:t>
            </w:r>
            <w:r>
              <w:rPr>
                <w:rFonts w:cs="Arial" w:ascii="Arial" w:hAnsi="Arial"/>
                <w:b/>
                <w:lang w:val="bg-BG"/>
              </w:rPr>
              <w:t>кументи</w:t>
            </w:r>
          </w:p>
        </w:tc>
      </w:tr>
      <w:tr>
        <w:trPr>
          <w:trHeight w:val="502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lang w:val="bg-BG"/>
              </w:rPr>
            </w:pPr>
            <w:r>
              <w:rPr>
                <w:rFonts w:cs="Arial" w:ascii="Arial" w:hAnsi="Arial"/>
                <w:b/>
                <w:sz w:val="20"/>
                <w:lang w:val="bg-BG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 w:eastAsia="bg-BG" w:bidi="ar-SA"/>
              </w:rPr>
            </w:pPr>
            <w:r>
              <w:rPr>
                <w:rFonts w:cs="Arial" w:ascii="Arial" w:hAnsi="Arial"/>
                <w:sz w:val="18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48895</wp:posOffset>
                      </wp:positionV>
                      <wp:extent cx="727710" cy="304800"/>
                      <wp:effectExtent l="9525" t="9525" r="10160" b="5080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7560" cy="3049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Старт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white" stroked="t" o:allowincell="t" style="position:absolute;margin-left:15.2pt;margin-top:3.85pt;width:57.25pt;height:23.9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Старт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1417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</w:tr>
      <w:tr>
        <w:trPr>
          <w:trHeight w:val="14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 w:eastAsia="bg-BG" w:bidi="ar-SA"/>
              </w:rPr>
            </w:pPr>
            <w:r>
              <w:rPr>
                <w:rFonts w:cs="Arial" w:ascii="Arial" w:hAnsi="Arial"/>
                <w:sz w:val="18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34925</wp:posOffset>
                      </wp:positionV>
                      <wp:extent cx="3810" cy="137160"/>
                      <wp:effectExtent l="36195" t="635" r="3683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60" cy="1371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25pt,2.75pt" to="44.5pt,13.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141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  <w:tc>
          <w:tcPr>
            <w:tcW w:w="28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</w:tr>
      <w:tr>
        <w:trPr>
          <w:trHeight w:val="481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u-ES"/>
              </w:rPr>
              <w:t>У</w:t>
            </w:r>
            <w:r>
              <w:rPr>
                <w:rFonts w:cs="Arial" w:ascii="Arial" w:hAnsi="Arial"/>
                <w:sz w:val="20"/>
                <w:lang w:val="bg-BG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1</w:t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177800</wp:posOffset>
                      </wp:positionV>
                      <wp:extent cx="1504950" cy="0"/>
                      <wp:effectExtent l="0" t="38100" r="0" b="3810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5048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4.65pt,14pt" to="213.1pt,14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color w:val="000000"/>
                <w:sz w:val="20"/>
                <w:lang w:val="bg-BG"/>
              </w:rPr>
              <w:t>Изготвяне на оди-тен (годишен) план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141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color w:val="FFFFFF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173990</wp:posOffset>
                      </wp:positionV>
                      <wp:extent cx="0" cy="1150620"/>
                      <wp:effectExtent l="9525" t="0" r="9525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1505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.65pt,13.7pt" to="35.65pt,104.25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889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</w:rPr>
              <w:t>5-</w:t>
            </w:r>
            <w:r>
              <w:rPr>
                <w:rFonts w:cs="Arial" w:ascii="Arial" w:hAnsi="Arial"/>
                <w:sz w:val="20"/>
                <w:lang w:val="bg-BG"/>
              </w:rPr>
              <w:t>0</w:t>
            </w:r>
            <w:r>
              <w:rPr>
                <w:rFonts w:cs="Arial" w:ascii="Arial" w:hAnsi="Arial"/>
                <w:sz w:val="20"/>
                <w:lang w:val="en-US"/>
              </w:rPr>
              <w:t>1</w:t>
            </w:r>
            <w:r>
              <w:rPr>
                <w:rFonts w:cs="Arial" w:ascii="Arial" w:hAnsi="Arial"/>
                <w:sz w:val="20"/>
                <w:lang w:val="bg-BG"/>
              </w:rPr>
              <w:t xml:space="preserve"> График за одити</w:t>
            </w:r>
          </w:p>
        </w:tc>
      </w:tr>
      <w:tr>
        <w:trPr>
          <w:trHeight w:val="92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color w:val="FFFFFF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1905</wp:posOffset>
                      </wp:positionV>
                      <wp:extent cx="635" cy="157480"/>
                      <wp:effectExtent l="38100" t="635" r="3810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1573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55pt,0.15pt" to="-3.55pt,12.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141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2889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</w:tr>
      <w:tr>
        <w:trPr>
          <w:trHeight w:val="314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СУ, 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П2</w:t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  <w:lang w:val="bg-BG"/>
              </w:rPr>
              <w:t>Подготовка на одита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Заповед за одит</w:t>
            </w:r>
          </w:p>
        </w:tc>
      </w:tr>
      <w:tr>
        <w:trPr>
          <w:trHeight w:val="176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color w:val="FFFFFF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38735</wp:posOffset>
                      </wp:positionV>
                      <wp:extent cx="635" cy="109220"/>
                      <wp:effectExtent l="38100" t="635" r="3810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109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3pt,3.05pt" to="-3.3pt,11.6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141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2889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</w:rPr>
              <w:t>5-0</w:t>
            </w:r>
            <w:r>
              <w:rPr>
                <w:rFonts w:cs="Arial" w:ascii="Arial" w:hAnsi="Arial"/>
                <w:sz w:val="20"/>
                <w:lang w:val="bg-BG"/>
              </w:rPr>
              <w:t>2 План за одит</w:t>
            </w:r>
          </w:p>
        </w:tc>
      </w:tr>
      <w:tr>
        <w:trPr>
          <w:trHeight w:val="364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Одитори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П4</w:t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bg-BG"/>
              </w:rPr>
              <w:t>Провеждане на одита и разговор с одитираните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3</w:t>
            </w:r>
          </w:p>
        </w:tc>
        <w:tc>
          <w:tcPr>
            <w:tcW w:w="2889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lang w:val="bg-BG"/>
              </w:rPr>
            </w:pPr>
            <w:r>
              <w:rPr>
                <w:rFonts w:cs="Arial" w:ascii="Arial" w:hAnsi="Arial"/>
                <w:color w:val="000000"/>
                <w:sz w:val="20"/>
                <w:lang w:val="bg-BG"/>
              </w:rPr>
            </w:r>
          </w:p>
        </w:tc>
      </w:tr>
      <w:tr>
        <w:trPr>
          <w:trHeight w:val="861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6" behindDoc="0" locked="0" layoutInCell="1" allowOverlap="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8890</wp:posOffset>
                      </wp:positionV>
                      <wp:extent cx="1779270" cy="528955"/>
                      <wp:effectExtent l="33655" t="10795" r="33655" b="1016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9120" cy="52884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6"/>
                                      <w:szCs w:val="20"/>
                                      <w:lang w:val="de-DE" w:bidi="he-IL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6"/>
                                      <w:szCs w:val="20"/>
                                      <w:lang w:bidi="he-IL" w:val="bg-BG"/>
                                    </w:rPr>
                                    <w:t>лаби места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6"/>
                                      <w:szCs w:val="20"/>
                                      <w:lang w:bidi="he-IL" w:val="de-DE"/>
                                    </w:rPr>
                                    <w:t xml:space="preserve">? 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4" coordsize="21600,21600" o:spt="4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fillcolor="white" stroked="t" o:allowincell="t" style="position:absolute;margin-left:4.65pt;margin-top:0.7pt;width:140.05pt;height:41.6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6"/>
                                <w:szCs w:val="20"/>
                                <w:lang w:val="de-DE" w:bidi="he-IL"/>
                              </w:rPr>
                              <w:t>С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6"/>
                                <w:szCs w:val="20"/>
                                <w:lang w:bidi="he-IL" w:val="bg-BG"/>
                              </w:rPr>
                              <w:t>лаби места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6"/>
                                <w:szCs w:val="20"/>
                                <w:lang w:bidi="he-IL" w:val="de-DE"/>
                              </w:rPr>
                              <w:t xml:space="preserve">? 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935" distR="114935" simplePos="0" relativeHeight="19" behindDoc="0" locked="0" layoutInCell="1" allowOverlap="1">
                      <wp:simplePos x="0" y="0"/>
                      <wp:positionH relativeFrom="column">
                        <wp:posOffset>310515</wp:posOffset>
                      </wp:positionH>
                      <wp:positionV relativeFrom="paragraph">
                        <wp:posOffset>356870</wp:posOffset>
                      </wp:positionV>
                      <wp:extent cx="304800" cy="250190"/>
                      <wp:effectExtent l="0" t="0" r="0" b="0"/>
                      <wp:wrapNone/>
                      <wp:docPr id="8" name="Рам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25019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</w:rPr>
                                    <w:t>дa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4pt;height:19.7pt;mso-wrap-distance-left:9.05pt;mso-wrap-distance-right:9.05pt;mso-wrap-distance-top:0pt;mso-wrap-distance-bottom:0pt;margin-top:28.1pt;mso-position-vertical-relative:text;margin-left:24.4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</w:rPr>
                              <w:t>дa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color w:val="FFFFFF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8" behindDoc="0" locked="0" layoutInCell="1" allowOverlap="1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276225</wp:posOffset>
                      </wp:positionV>
                      <wp:extent cx="716280" cy="0"/>
                      <wp:effectExtent l="0" t="38100" r="0" b="3810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4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6.7pt,21.75pt" to="73.05pt,21.7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-22860</wp:posOffset>
                      </wp:positionV>
                      <wp:extent cx="426085" cy="199390"/>
                      <wp:effectExtent l="0" t="0" r="0" b="0"/>
                      <wp:wrapNone/>
                      <wp:docPr id="10" name="Рам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085" cy="19939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Cs/>
                                      <w:color w:val="000000"/>
                                      <w:sz w:val="16"/>
                                    </w:rPr>
                                    <w:t>нe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3.55pt;height:15.7pt;mso-wrap-distance-left:9.05pt;mso-wrap-distance-right:9.05pt;mso-wrap-distance-top:0pt;mso-wrap-distance-bottom:0pt;margin-top:-1.8pt;mso-position-vertical-relative:text;margin-left:2.1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16"/>
                              </w:rPr>
                              <w:t>нe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</w:rPr>
            </w:pPr>
            <w:r>
              <w:rPr>
                <w:rFonts w:cs="Arial" w:ascii="Arial" w:hAnsi="Arial"/>
                <w:color w:val="FFFFFF"/>
                <w:sz w:val="20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spacing w:before="120" w:after="0"/>
              <w:jc w:val="center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bg-BG"/>
              </w:rPr>
              <w:t>Изготвяне/раз-даване на док-лад за одита</w:t>
            </w:r>
          </w:p>
        </w:tc>
        <w:tc>
          <w:tcPr>
            <w:tcW w:w="2889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486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 xml:space="preserve">ПР ЗА СУ 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pacing w:before="60" w:after="0"/>
              <w:jc w:val="center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bg-BG"/>
              </w:rPr>
              <w:t>Разискване и доку-ментиране на слабите места/резултатите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000000"/>
                <w:sz w:val="20"/>
                <w:lang w:val="bg-BG"/>
              </w:rPr>
            </w:pPr>
            <w:r>
              <w:rPr>
                <w:rFonts w:cs="Arial" w:ascii="Arial" w:hAnsi="Arial"/>
                <w:color w:val="000000"/>
                <w:sz w:val="20"/>
                <w:lang w:val="bg-BG"/>
              </w:rPr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  <w:lang w:val="ru-RU"/>
              </w:rPr>
              <w:t>5-0</w:t>
            </w:r>
            <w:r>
              <w:rPr>
                <w:rFonts w:cs="Arial" w:ascii="Arial" w:hAnsi="Arial"/>
                <w:sz w:val="20"/>
                <w:lang w:val="bg-BG"/>
              </w:rPr>
              <w:t xml:space="preserve">4 </w:t>
            </w:r>
            <w:r>
              <w:rPr>
                <w:rFonts w:cs="Arial" w:ascii="Arial" w:hAnsi="Arial"/>
                <w:sz w:val="20"/>
                <w:lang w:val="ru-RU"/>
              </w:rPr>
              <w:t>Предл. за коригиращи мерки</w:t>
            </w:r>
          </w:p>
        </w:tc>
      </w:tr>
      <w:tr>
        <w:trPr>
          <w:trHeight w:val="192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985" w:type="dxa"/>
            <w:gridSpan w:val="2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color w:val="000000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5080</wp:posOffset>
                      </wp:positionV>
                      <wp:extent cx="6985" cy="182880"/>
                      <wp:effectExtent l="34290" t="635" r="35560" b="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0" cy="1828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75pt,0.4pt" to="46.25pt,14.7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</w:tr>
      <w:tr>
        <w:trPr>
          <w:trHeight w:val="685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Д произв.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Д търг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П5</w:t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236855</wp:posOffset>
                      </wp:positionV>
                      <wp:extent cx="1875155" cy="8255"/>
                      <wp:effectExtent l="635" t="38100" r="0" b="3048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75240" cy="82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prstDash val="sysDot"/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4.9pt,18.65pt" to="242.5pt,19.25pt" stroked="t" o:allowincell="t" style="position:absolute;flip:y">
                      <v:stroke color="black" weight="19080" dashstyle="shortdot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color w:val="000000"/>
                <w:sz w:val="20"/>
                <w:lang w:val="bg-BG"/>
              </w:rPr>
              <w:t>Определяне на мерки за корекция/профилактика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FFFFFF"/>
                <w:sz w:val="20"/>
                <w:lang w:val="ru-RU"/>
              </w:rPr>
            </w:pPr>
            <w:r>
              <w:rPr>
                <w:rFonts w:cs="Arial" w:ascii="Arial" w:hAnsi="Arial"/>
                <w:color w:val="FFFFFF"/>
                <w:sz w:val="20"/>
                <w:lang w:val="ru-RU"/>
              </w:rPr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ru-RU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ru-RU"/>
              </w:rPr>
            </w:r>
          </w:p>
        </w:tc>
      </w:tr>
      <w:tr>
        <w:trPr>
          <w:trHeight w:val="246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985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000000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color w:val="000000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-3810</wp:posOffset>
                      </wp:positionV>
                      <wp:extent cx="635" cy="194945"/>
                      <wp:effectExtent l="38100" t="635" r="38100" b="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1951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5pt,-0.3pt" to="46.5pt,1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lang w:val="ru-RU"/>
              </w:rPr>
            </w:pPr>
            <w:r>
              <w:rPr>
                <w:rFonts w:cs="Arial" w:ascii="Arial" w:hAnsi="Arial"/>
                <w:color w:val="000000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328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ПР ЗА СУ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Водещ одитор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102235</wp:posOffset>
                      </wp:positionV>
                      <wp:extent cx="1520190" cy="635"/>
                      <wp:effectExtent l="0" t="38100" r="635" b="3810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028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5.25pt,8.05pt" to="214.9pt,8.05pt" stroked="t" o:allowincell="t" style="position:absolute">
                      <v:stroke color="black" weight="19080" startarrow="block" startarrowwidth="medium" start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Изготвяне на доклад за одита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99060</wp:posOffset>
                      </wp:positionV>
                      <wp:extent cx="3810" cy="207010"/>
                      <wp:effectExtent l="9525" t="635" r="9525" b="635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60" cy="2070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05pt,7.8pt" to="38.3pt,24.05pt" stroked="t" o:allowincell="t" style="position:absolute;flip:x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15240</wp:posOffset>
                      </wp:positionV>
                      <wp:extent cx="1779270" cy="574040"/>
                      <wp:effectExtent l="31115" t="10160" r="31115" b="10795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9120" cy="5742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6"/>
                                      <w:szCs w:val="20"/>
                                      <w:lang w:val="bg-BG" w:bidi="he-IL"/>
                                    </w:rPr>
                                    <w:t>Одитираните съгласни ли са?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5.25pt;margin-top:1.2pt;width:140.05pt;height:45.15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6"/>
                                <w:szCs w:val="20"/>
                                <w:lang w:val="bg-BG" w:bidi="he-IL"/>
                              </w:rPr>
                              <w:t>Одитираните съгласни ли са?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14" behindDoc="0" locked="0" layoutInCell="1" allowOverlap="1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94615</wp:posOffset>
                      </wp:positionV>
                      <wp:extent cx="411480" cy="205105"/>
                      <wp:effectExtent l="0" t="0" r="0" b="0"/>
                      <wp:wrapNone/>
                      <wp:docPr id="17" name="Рам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1480" cy="20510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4"/>
                                      <w:lang w:val="bg-BG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4"/>
                                      <w:lang w:val="bg-BG"/>
                                    </w:rPr>
                                    <w:t>не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2.4pt;height:16.15pt;mso-wrap-distance-left:9.05pt;mso-wrap-distance-right:9.05pt;mso-wrap-distance-top:0pt;mso-wrap-distance-bottom:0pt;margin-top:7.45pt;mso-position-vertical-relative:text;margin-left:30.6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lang w:val="bg-BG"/>
                              </w:rPr>
                              <w:t>не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pacing w:before="120" w:after="0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Отказ</w:t>
            </w:r>
          </w:p>
        </w:tc>
        <w:tc>
          <w:tcPr>
            <w:tcW w:w="2889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Доклад за одита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20" behindDoc="0" locked="0" layoutInCell="1" allowOverlap="1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187960</wp:posOffset>
                      </wp:positionV>
                      <wp:extent cx="400050" cy="205105"/>
                      <wp:effectExtent l="0" t="0" r="0" b="0"/>
                      <wp:wrapNone/>
                      <wp:docPr id="18" name="Рамка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20510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6"/>
                                      <w:lang w:val="bg-BG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lang w:val="bg-BG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1.5pt;height:16.15pt;mso-wrap-distance-left:9.05pt;mso-wrap-distance-right:9.05pt;mso-wrap-distance-top:0pt;mso-wrap-distance-bottom:0pt;margin-top:14.8pt;mso-position-vertical-relative:text;margin-left:12.9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lang w:val="bg-BG"/>
                              </w:rPr>
                              <w:t>да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96520</wp:posOffset>
                      </wp:positionV>
                      <wp:extent cx="742950" cy="3810"/>
                      <wp:effectExtent l="635" t="34925" r="0" b="3810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3040" cy="39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5.5pt,7.6pt" to="73.95pt,7.8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41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9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252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41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347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Раздаване на доклада за одита</w: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12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985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1" behindDoc="0" locked="0" layoutInCell="1" allowOverlap="1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3175</wp:posOffset>
                      </wp:positionV>
                      <wp:extent cx="3810" cy="140970"/>
                      <wp:effectExtent l="36195" t="635" r="36830" b="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60" cy="1411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25pt,0.25pt" to="47.5pt,11.3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8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Ф5-04 Предл. за коригиращи мерки</w:t>
            </w:r>
          </w:p>
        </w:tc>
      </w:tr>
      <w:tr>
        <w:trPr>
          <w:trHeight w:val="212" w:hRule="atLeast"/>
          <w:cantSplit/>
        </w:trPr>
        <w:tc>
          <w:tcPr>
            <w:tcW w:w="191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П6</w:t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w:t xml:space="preserve">Планиране на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w:t>следващ одит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</w:r>
          </w:p>
        </w:tc>
        <w:tc>
          <w:tcPr>
            <w:tcW w:w="1275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4" behindDoc="0" locked="0" layoutInCell="1" allowOverlap="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180975</wp:posOffset>
                      </wp:positionV>
                      <wp:extent cx="1840230" cy="635"/>
                      <wp:effectExtent l="0" t="38100" r="635" b="3810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032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prstDash val="sysDot"/>
                                <a:miter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6pt,14.25pt" to="143.25pt,14.25pt" stroked="t" o:allowincell="t" style="position:absolute">
                      <v:stroke color="black" weight="19080" dashstyle="shortdot" startarrow="block" startarrowwidth="medium" start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12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985" w:type="dxa"/>
            <w:gridSpan w:val="2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3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-18415</wp:posOffset>
                      </wp:positionV>
                      <wp:extent cx="0" cy="323850"/>
                      <wp:effectExtent l="38100" t="0" r="38100" b="0"/>
                      <wp:wrapNone/>
                      <wp:docPr id="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3240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pt,-1.45pt" to="45pt,24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8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  <w:lang w:val="bg-BG"/>
              </w:rPr>
            </w:r>
          </w:p>
        </w:tc>
      </w:tr>
      <w:tr>
        <w:trPr>
          <w:trHeight w:val="347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2" behindDoc="0" locked="0" layoutInCell="1" allowOverlap="1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137795</wp:posOffset>
                      </wp:positionV>
                      <wp:extent cx="1348740" cy="444500"/>
                      <wp:effectExtent l="9525" t="10160" r="10160" b="1016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8920" cy="44460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8"/>
                                      <w:szCs w:val="20"/>
                                      <w:lang w:val="bg-BG" w:bidi="he-IL"/>
                                    </w:rPr>
                                    <w:t>Нов цикъл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23.45pt;margin-top:10.85pt;width:106.15pt;height:34.9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Нов цикъл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1985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415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2976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8008"/>
      </w:tblGrid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  <w:lang w:val="bg-BG"/>
              </w:rPr>
              <w:t>Стъпка в процеса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Ko</w:t>
            </w:r>
            <w:r>
              <w:rPr>
                <w:rFonts w:cs="Arial" w:ascii="Arial" w:hAnsi="Arial"/>
                <w:b/>
                <w:lang w:val="bg-BG"/>
              </w:rPr>
              <w:t>ментар/Разяснение</w:t>
            </w:r>
          </w:p>
        </w:tc>
      </w:tr>
      <w:tr>
        <w:trPr>
          <w:trHeight w:val="813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1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Графикът на вътрешните одити се утвърждава на прегледа от ръководството.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Всяка дейност се одитира поне веднъж годишно. В допълнение към планираните годишни одити, някои участъци или дейности  се проверяват по-често в зависимост от тяхното състояние, значимост и резултати от минали проверки.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 xml:space="preserve">Графикът за вътрешни одити съдържа датите и одиторските екипи . В един одит могат да бъдат включени </w:t>
            </w:r>
            <w:r>
              <w:rPr>
                <w:rFonts w:cs="Arial" w:ascii="Arial" w:hAnsi="Arial"/>
                <w:sz w:val="22"/>
                <w:lang w:val="eu-ES"/>
              </w:rPr>
              <w:t xml:space="preserve">всички или </w:t>
            </w:r>
            <w:r>
              <w:rPr>
                <w:rFonts w:cs="Arial" w:ascii="Arial" w:hAnsi="Arial"/>
                <w:sz w:val="22"/>
                <w:lang w:val="bg-BG"/>
              </w:rPr>
              <w:t>няколко участъка и дейности.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Планът за вътрешни одити се съгласува и утвърждава от Управителя на фирмата и издава заповед за провеждане на вътрешен одит, с която се определя одитирания сектор и одиторски екип.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Служителите, определени за провеждане на одитите, трябва да са независими от одитирания участък или дейност. Пълномощникът за съответната система провежда инструктаж на одитиращия екип относно провеждането на вътрешния одит.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2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Одиторските екипи се подготвят за одит като подробно се запознават със съответния стандарт и наръчник на системата за управление, която се одитира и съответните подлежащи на одит процедури, със записи за несъответствия, предложения за коригиращи действия и с резултати от предходни одити. Подготвят се въпроси.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Преди началото Пълномощникът за системата провежда среща със служителите в одитирания сектор, на която им разяснява обхвата и начина за провеждане на проверката.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Одитиращият екип преглежда документацията на одитирания сектор, за да прецени отговаря ли тя на изискванията на стандарта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3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 xml:space="preserve">Докладът за одита е предназначен за  </w:t>
            </w:r>
            <w:r>
              <w:rPr>
                <w:rFonts w:cs="Arial" w:ascii="Arial" w:hAnsi="Arial"/>
                <w:sz w:val="22"/>
                <w:lang w:val="eu-ES"/>
              </w:rPr>
              <w:t>Управителя</w:t>
            </w:r>
            <w:r>
              <w:rPr>
                <w:rFonts w:cs="Arial" w:ascii="Arial" w:hAnsi="Arial"/>
                <w:sz w:val="22"/>
                <w:lang w:val="bg-BG"/>
              </w:rPr>
              <w:t xml:space="preserve"> на фирмата. 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4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При провеждане на одита одиторите търсят обективни доказателства, които да показват дали одитираните дейности съответстват на изискванията на документите в системата за управление.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При забелязване на несъответствие, то се представя на вниманието и се дискутира с отговорния ръководител. Преди края на одита всяко несъответствие се документира в Доклад за несъответствие</w:t>
            </w:r>
            <w:r>
              <w:rPr>
                <w:rFonts w:cs="Arial" w:ascii="Arial" w:hAnsi="Arial"/>
                <w:sz w:val="22"/>
                <w:lang w:val="eu-ES"/>
              </w:rPr>
              <w:t>, о</w:t>
            </w:r>
            <w:r>
              <w:rPr>
                <w:rFonts w:cs="Arial" w:ascii="Arial" w:hAnsi="Arial"/>
                <w:sz w:val="22"/>
                <w:lang w:val="bg-BG"/>
              </w:rPr>
              <w:t>диторите попълват само първата част на формата, като описват забелязаното несъответствие. После формуляра се предава на отговорния ръководител, който използва втората част, за да предложи коригиращо действие.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 xml:space="preserve">Одитиращият екип провежда заключителна беседа със служителите на одитирания сектор, на която ги запознава с резултатите от одита и констатираните по време на вътрешен одит </w:t>
            </w:r>
            <w:r>
              <w:rPr>
                <w:rFonts w:cs="Arial" w:ascii="Arial" w:hAnsi="Arial"/>
                <w:sz w:val="22"/>
                <w:lang w:val="eu-ES"/>
              </w:rPr>
              <w:t xml:space="preserve">указания и </w:t>
            </w:r>
            <w:r>
              <w:rPr>
                <w:rFonts w:cs="Arial" w:ascii="Arial" w:hAnsi="Arial"/>
                <w:sz w:val="22"/>
                <w:lang w:val="bg-BG"/>
              </w:rPr>
              <w:t>несъответствия.</w:t>
            </w:r>
          </w:p>
          <w:p>
            <w:pPr>
              <w:pStyle w:val="Normal"/>
              <w:spacing w:before="120" w:after="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5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Когато едно несъответствие е открито и документирано при вътрешен одит, следват коригиращи и превантивни действия.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22"/>
                <w:lang w:val="bg-BG"/>
              </w:rPr>
              <w:t>След изтичане на срока за коригиращите действия, одитор</w:t>
            </w:r>
            <w:r>
              <w:rPr>
                <w:rFonts w:cs="Arial" w:ascii="Arial" w:hAnsi="Arial"/>
                <w:sz w:val="22"/>
                <w:lang w:val="eu-ES"/>
              </w:rPr>
              <w:t>ът</w:t>
            </w:r>
            <w:r>
              <w:rPr>
                <w:rFonts w:cs="Arial" w:ascii="Arial" w:hAnsi="Arial"/>
                <w:sz w:val="22"/>
                <w:lang w:val="bg-BG"/>
              </w:rPr>
              <w:t xml:space="preserve"> проверява дали те са приложени и дали са ефективни. </w:t>
            </w:r>
          </w:p>
          <w:p>
            <w:pPr>
              <w:pStyle w:val="Normal"/>
              <w:spacing w:before="120" w:after="0"/>
              <w:jc w:val="both"/>
              <w:rPr/>
            </w:pPr>
            <w:r>
              <w:rPr>
                <w:rFonts w:cs="Arial" w:ascii="Arial" w:hAnsi="Arial"/>
                <w:lang w:val="bg-BG"/>
              </w:rPr>
              <w:t>К</w:t>
            </w:r>
            <w:r>
              <w:rPr>
                <w:rFonts w:cs="Arial" w:ascii="Arial" w:hAnsi="Arial"/>
                <w:sz w:val="22"/>
                <w:lang w:val="bg-BG"/>
              </w:rPr>
              <w:t>огато има обективни доказателства, че коригиращите действия са осъществени Докладът за несъответствие се закрива. Ако е необходима още работа по отстраняване на несъответствието то се определя нова дата за проверка.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П6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Цикълът започва отначало, както е определено в одитния план. Записите от приключилия вътрешен одит се съхраняват от ПР за СУ.</w:t>
            </w:r>
          </w:p>
        </w:tc>
      </w:tr>
    </w:tbl>
    <w:p>
      <w:pPr>
        <w:pStyle w:val="Heading1"/>
        <w:ind w:hanging="0" w:start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64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4"/>
        <w:gridCol w:w="4541"/>
      </w:tblGrid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340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  <w:lang w:val="fr-FR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Стр. 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 xml:space="preserve">от 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/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Ревизия 01</w:t>
          </w:r>
        </w:p>
      </w:tc>
      <w:tc>
        <w:tcPr>
          <w:tcW w:w="340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  <w:lang w:val="bg-BG"/>
            </w:rPr>
          </w:pPr>
          <w:r>
            <w:rPr/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</w:rPr>
            <w:t>Дата:</w:t>
          </w:r>
          <w:r>
            <w:rPr>
              <w:rFonts w:cs="Arial" w:ascii="Arial" w:hAnsi="Arial"/>
              <w:sz w:val="20"/>
              <w:lang w:val="bg-BG"/>
            </w:rPr>
            <w:t xml:space="preserve"> </w:t>
          </w:r>
          <w:r>
            <w:rPr>
              <w:rFonts w:cs="Arial" w:ascii="Arial" w:hAnsi="Arial"/>
              <w:sz w:val="20"/>
            </w:rPr>
            <w:t>1</w:t>
          </w:r>
          <w:r>
            <w:rPr>
              <w:rFonts w:cs="Arial" w:ascii="Arial" w:hAnsi="Arial"/>
              <w:sz w:val="20"/>
              <w:lang w:val="bg-BG"/>
            </w:rPr>
            <w:t>2</w:t>
          </w:r>
          <w:r>
            <w:rPr>
              <w:rFonts w:cs="Arial" w:ascii="Arial" w:hAnsi="Arial"/>
              <w:sz w:val="20"/>
            </w:rPr>
            <w:t>.0</w:t>
          </w:r>
          <w:r>
            <w:rPr>
              <w:rFonts w:cs="Arial" w:ascii="Arial" w:hAnsi="Arial"/>
              <w:sz w:val="20"/>
              <w:lang w:val="en-US"/>
            </w:rPr>
            <w:t>1</w:t>
          </w:r>
          <w:r>
            <w:rPr>
              <w:rFonts w:cs="Arial" w:ascii="Arial" w:hAnsi="Arial"/>
              <w:sz w:val="20"/>
            </w:rPr>
            <w:t>.20</w:t>
          </w:r>
          <w:r>
            <w:rPr>
              <w:rFonts w:cs="Arial" w:ascii="Arial" w:hAnsi="Arial"/>
              <w:sz w:val="20"/>
              <w:lang w:val="en-US"/>
            </w:rPr>
            <w:t>2</w:t>
          </w:r>
          <w:r>
            <w:rPr>
              <w:rFonts w:cs="Arial" w:ascii="Arial" w:hAnsi="Arial"/>
              <w:sz w:val="20"/>
              <w:lang w:val="bg-BG"/>
            </w:rPr>
            <w:t>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W w:w="900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276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2"/>
              <w:szCs w:val="22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ind w:hanging="0" w:start="0"/>
            <w:rPr>
              <w:b w:val="false"/>
            </w:rPr>
          </w:pPr>
          <w:r>
            <w:rPr/>
            <w:t>Описание на процес</w:t>
          </w:r>
        </w:p>
      </w:tc>
      <w:tc>
        <w:tcPr>
          <w:tcW w:w="127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 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</w:rPr>
            <w:t>5-01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5"/>
            <w:ind w:hanging="0" w:start="0"/>
            <w:rPr>
              <w:b/>
              <w:lang w:val="ru-RU"/>
            </w:rPr>
          </w:pPr>
          <w:r>
            <w:rPr>
              <w:b/>
              <w:lang w:val="bg-BG"/>
            </w:rPr>
            <w:t>Вътрешни одити</w:t>
          </w:r>
        </w:p>
      </w:tc>
      <w:tc>
        <w:tcPr>
          <w:tcW w:w="127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cs="Arial" w:ascii="Arial" w:hAnsi="Arial"/>
              <w:b/>
              <w:lang w:val="ru-RU"/>
            </w:rPr>
          </w:r>
        </w:p>
      </w:tc>
    </w:tr>
    <w:tr>
      <w:trPr>
        <w:cantSplit/>
      </w:trPr>
      <w:tc>
        <w:tcPr>
          <w:tcW w:w="9001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8"/>
              <w:lang w:val="ru-RU"/>
            </w:rPr>
          </w:pPr>
          <w:r>
            <w:rPr>
              <w:rFonts w:cs="Arial" w:ascii="Arial" w:hAnsi="Arial"/>
              <w:sz w:val="28"/>
              <w:lang w:val="ru-RU"/>
            </w:rPr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ru-RU"/>
            </w:rPr>
            <w:t>Цел: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  <w:tab/>
          </w:r>
          <w:r>
            <w:rPr>
              <w:rFonts w:cs="Arial" w:ascii="Arial" w:hAnsi="Arial"/>
              <w:lang w:val="bg-BG"/>
            </w:rPr>
            <w:t xml:space="preserve">   Начин на действие при планиране и провеждане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  <w:tab/>
            <w:t xml:space="preserve">              на </w:t>
          </w:r>
          <w:r>
            <w:rPr>
              <w:rFonts w:cs="Arial" w:ascii="Arial" w:hAnsi="Arial"/>
              <w:lang w:val="bg-BG"/>
            </w:rPr>
            <w:t>вътрешни одити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>
              <w:rFonts w:ascii="Arial" w:hAnsi="Arial" w:cs="Arial"/>
              <w:lang w:val="ru-RU"/>
            </w:rPr>
          </w:pPr>
          <w:r>
            <w:rPr>
              <w:rFonts w:cs="Arial" w:ascii="Arial" w:hAnsi="Arial"/>
              <w:b/>
              <w:lang w:val="ru-RU"/>
            </w:rPr>
            <w:t>Сфера</w:t>
          </w:r>
          <w:r>
            <w:rPr>
              <w:rFonts w:cs="Arial" w:ascii="Arial" w:hAnsi="Arial"/>
              <w:b/>
              <w:lang w:val="bg-BG"/>
            </w:rPr>
            <w:t xml:space="preserve"> на действие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 xml:space="preserve">    цялото предприятие</w:t>
          </w:r>
        </w:p>
        <w:p>
          <w:pPr>
            <w:pStyle w:val="Normal"/>
            <w:rPr>
              <w:rFonts w:ascii="Arial" w:hAnsi="Arial" w:cs="Arial"/>
              <w:lang w:val="ru-RU"/>
            </w:rPr>
          </w:pPr>
          <w:r>
            <w:rPr>
              <w:rFonts w:cs="Arial" w:ascii="Arial" w:hAnsi="Arial"/>
              <w:b/>
              <w:lang w:val="ru-RU"/>
            </w:rPr>
            <w:t>Соб</w:t>
          </w:r>
          <w:r>
            <w:rPr>
              <w:rFonts w:cs="Arial" w:ascii="Arial" w:hAnsi="Arial"/>
              <w:b/>
              <w:lang w:val="bg-BG"/>
            </w:rPr>
            <w:t>ственик на процеса</w:t>
          </w:r>
          <w:r>
            <w:rPr>
              <w:rFonts w:cs="Arial" w:ascii="Arial" w:hAnsi="Arial"/>
              <w:b/>
              <w:lang w:val="ru-RU"/>
            </w:rPr>
            <w:t xml:space="preserve">:   </w:t>
          </w:r>
          <w:r>
            <w:rPr>
              <w:rFonts w:cs="Arial" w:ascii="Arial" w:hAnsi="Arial"/>
              <w:lang w:val="bg-BG"/>
            </w:rPr>
            <w:t>Ръководството на предприятието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3">
    <w:name w:val="Body Text 3"/>
    <w:basedOn w:val="Normal"/>
    <w:qFormat/>
    <w:pPr/>
    <w:rPr>
      <w:rFonts w:ascii="Arial" w:hAnsi="Arial" w:cs="Arial"/>
      <w:sz w:val="1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2005-10-23T20:24:00Z</dcterms:created>
  <dc:creator>Nikolaj</dc:creator>
  <dc:description/>
  <cp:keywords/>
  <dc:language>bg-BG</dc:language>
  <cp:lastModifiedBy>Георги Георгиев</cp:lastModifiedBy>
  <cp:lastPrinted>2007-11-15T10:04:00Z</cp:lastPrinted>
  <dcterms:modified xsi:type="dcterms:W3CDTF">2026-03-23T19:20:00Z</dcterms:modified>
  <cp:revision>76</cp:revision>
  <dc:subject/>
  <dc:title/>
</cp:coreProperties>
</file>