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tabs>
          <w:tab w:val="clear" w:pos="708"/>
          <w:tab w:val="left" w:pos="-720" w:leader="none"/>
        </w:tabs>
        <w:spacing w:before="240" w:after="60"/>
        <w:ind w:hanging="0" w:start="0" w:end="566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1. ЦЕЛ</w:t>
      </w:r>
      <w:r>
        <w:rPr>
          <w:rFonts w:cs="Arial" w:ascii="Arial" w:hAnsi="Arial"/>
          <w:b w:val="false"/>
          <w:bCs w:val="false"/>
          <w:sz w:val="24"/>
          <w:szCs w:val="24"/>
        </w:rPr>
        <w:tab/>
      </w:r>
    </w:p>
    <w:p>
      <w:pPr>
        <w:pStyle w:val="Normal"/>
        <w:ind w:firstLine="720" w:end="-1"/>
        <w:jc w:val="both"/>
        <w:rPr/>
      </w:pPr>
      <w:r>
        <w:rPr>
          <w:rFonts w:cs="Arial" w:ascii="Arial" w:hAnsi="Arial"/>
          <w:lang w:eastAsia="en-US"/>
        </w:rPr>
        <w:t xml:space="preserve">Целта на настоящата процедура е да регламентира дейностите свързани с наблюдение, качествени и количествени измервания и степента за достигане на целите за БЗР в </w:t>
      </w:r>
      <w:r>
        <w:rPr>
          <w:rFonts w:cs="Arial" w:ascii="Arial" w:hAnsi="Arial"/>
          <w:color w:val="000000"/>
          <w:lang w:eastAsia="en-US"/>
        </w:rPr>
        <w:t>СМП ПЛЕВЕН ЕООД</w:t>
      </w:r>
      <w:r>
        <w:rPr>
          <w:rFonts w:cs="Arial" w:ascii="Arial" w:hAnsi="Arial"/>
          <w:lang w:eastAsia="en-US"/>
        </w:rPr>
        <w:t xml:space="preserve">. </w:t>
      </w:r>
    </w:p>
    <w:p>
      <w:pPr>
        <w:pStyle w:val="Normal"/>
        <w:spacing w:lineRule="atLeast" w:line="300" w:before="280" w:after="280"/>
        <w:ind w:end="-1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lang w:eastAsia="en-US"/>
        </w:rPr>
        <w:t xml:space="preserve">            </w:t>
      </w:r>
      <w:r>
        <w:rPr>
          <w:rFonts w:cs="Arial" w:ascii="Arial" w:hAnsi="Arial"/>
          <w:b/>
          <w:color w:val="000000"/>
          <w:lang w:eastAsia="en-US"/>
        </w:rPr>
        <w:t>2. ТЕРМИНИ И ОПРЕДЕЛЕНИЯ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"/>
        <w:jc w:val="both"/>
        <w:rPr>
          <w:rFonts w:ascii="Arial" w:hAnsi="Arial" w:cs="Arial"/>
          <w:b/>
          <w:color w:val="000000"/>
          <w:lang w:eastAsia="en-US"/>
        </w:rPr>
      </w:pPr>
      <w:r>
        <w:rPr>
          <w:rFonts w:cs="Arial" w:ascii="Arial" w:hAnsi="Arial"/>
          <w:b/>
          <w:lang w:eastAsia="en-US"/>
        </w:rPr>
        <w:t xml:space="preserve">            </w:t>
      </w:r>
      <w:r>
        <w:rPr>
          <w:rFonts w:cs="Arial" w:ascii="Arial" w:hAnsi="Arial"/>
          <w:b/>
          <w:lang w:eastAsia="en-US"/>
        </w:rPr>
        <w:t xml:space="preserve">Система за оценяване на съответствието - </w:t>
      </w:r>
      <w:r>
        <w:rPr>
          <w:rFonts w:cs="Arial" w:ascii="Arial" w:hAnsi="Arial"/>
          <w:lang w:eastAsia="en-US"/>
        </w:rPr>
        <w:t>съвкупност от правила, процедури и управление за извършване оценяване на съответствието;</w:t>
      </w:r>
    </w:p>
    <w:p>
      <w:pPr>
        <w:pStyle w:val="Normal"/>
        <w:ind w:end="-1"/>
        <w:jc w:val="both"/>
        <w:rPr/>
      </w:pPr>
      <w:r>
        <w:rPr>
          <w:rFonts w:cs="Arial" w:ascii="Arial" w:hAnsi="Arial"/>
          <w:b/>
          <w:lang w:eastAsia="en-US"/>
        </w:rPr>
        <w:tab/>
        <w:t xml:space="preserve">Съответствие - </w:t>
      </w:r>
      <w:r>
        <w:rPr>
          <w:rFonts w:cs="Arial" w:ascii="Arial" w:hAnsi="Arial"/>
          <w:lang w:eastAsia="en-US"/>
        </w:rPr>
        <w:t>случай, когато продукт, процес или услуга удовлетворяват определени изисквания;</w:t>
      </w:r>
    </w:p>
    <w:p>
      <w:pPr>
        <w:pStyle w:val="Normal"/>
        <w:ind w:firstLine="720" w:end="-1"/>
        <w:jc w:val="both"/>
        <w:rPr/>
      </w:pPr>
      <w:r>
        <w:rPr>
          <w:rFonts w:cs="Arial" w:ascii="Arial" w:hAnsi="Arial"/>
          <w:b/>
          <w:lang w:eastAsia="en-US"/>
        </w:rPr>
        <w:t xml:space="preserve">Оценяване на съответствието - </w:t>
      </w:r>
      <w:r>
        <w:rPr>
          <w:rFonts w:cs="Arial" w:ascii="Arial" w:hAnsi="Arial"/>
          <w:lang w:eastAsia="en-US"/>
        </w:rPr>
        <w:t>всяка дейност, която определя директно или индиректно дали съответни изисквания са  изпълнени;</w:t>
      </w:r>
      <w:r>
        <w:rPr>
          <w:rFonts w:cs="Arial" w:ascii="Arial" w:hAnsi="Arial"/>
          <w:b/>
          <w:lang w:eastAsia="en-US"/>
        </w:rPr>
        <w:t xml:space="preserve"> </w:t>
      </w:r>
    </w:p>
    <w:p>
      <w:pPr>
        <w:pStyle w:val="Normal"/>
        <w:ind w:end="-1"/>
        <w:jc w:val="both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b/>
          <w:lang w:eastAsia="en-US"/>
        </w:rPr>
        <w:tab/>
      </w:r>
    </w:p>
    <w:p>
      <w:pPr>
        <w:pStyle w:val="Normal"/>
        <w:tabs>
          <w:tab w:val="clear" w:pos="708"/>
          <w:tab w:val="left" w:pos="-720" w:leader="none"/>
        </w:tabs>
        <w:ind w:end="-1"/>
        <w:jc w:val="both"/>
        <w:rPr>
          <w:rFonts w:ascii="Arial" w:hAnsi="Arial" w:cs="Arial"/>
          <w:b/>
          <w:color w:val="000000"/>
          <w:lang w:eastAsia="en-US"/>
        </w:rPr>
      </w:pPr>
      <w:r>
        <w:rPr>
          <w:rFonts w:cs="Arial" w:ascii="Arial" w:hAnsi="Arial"/>
          <w:b/>
          <w:color w:val="000000"/>
          <w:lang w:eastAsia="en-US"/>
        </w:rPr>
        <w:t xml:space="preserve">             </w:t>
      </w:r>
      <w:r>
        <w:rPr>
          <w:rFonts w:cs="Arial" w:ascii="Arial" w:hAnsi="Arial"/>
          <w:b/>
          <w:color w:val="000000"/>
          <w:lang w:eastAsia="en-US"/>
        </w:rPr>
        <w:t>3. ОБЛАСТ НА ПРИЛОЖЕНИЕ</w:t>
      </w:r>
      <w:r>
        <w:rPr>
          <w:rFonts w:cs="Arial" w:ascii="Arial" w:hAnsi="Arial"/>
          <w:color w:val="000000"/>
          <w:lang w:eastAsia="en-US"/>
        </w:rPr>
        <w:t xml:space="preserve"> </w:t>
      </w:r>
    </w:p>
    <w:p>
      <w:pPr>
        <w:pStyle w:val="Normal"/>
        <w:tabs>
          <w:tab w:val="clear" w:pos="708"/>
          <w:tab w:val="left" w:pos="-720" w:leader="none"/>
          <w:tab w:val="left" w:pos="780" w:leader="none"/>
          <w:tab w:val="left" w:pos="9638" w:leader="none"/>
        </w:tabs>
        <w:ind w:end="-1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ab/>
        <w:t>Настоящата процедура обхваща предприетите действия свързани с изпълнение на нормативните документи и други изисквания, които организацията е приела да спазва.</w:t>
      </w:r>
    </w:p>
    <w:p>
      <w:pPr>
        <w:pStyle w:val="Normal"/>
        <w:tabs>
          <w:tab w:val="clear" w:pos="708"/>
          <w:tab w:val="left" w:pos="-720" w:leader="none"/>
          <w:tab w:val="left" w:pos="780" w:leader="none"/>
          <w:tab w:val="left" w:pos="9638" w:leader="none"/>
        </w:tabs>
        <w:ind w:end="-1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1"/>
        <w:jc w:val="both"/>
        <w:rPr/>
      </w:pPr>
      <w:r>
        <w:rPr>
          <w:rFonts w:cs="Arial" w:ascii="Arial" w:hAnsi="Arial"/>
          <w:b/>
          <w:color w:val="000000"/>
          <w:lang w:eastAsia="en-US"/>
        </w:rPr>
        <w:t xml:space="preserve">      </w:t>
      </w:r>
      <w:r>
        <w:rPr>
          <w:rFonts w:cs="Arial" w:ascii="Arial" w:hAnsi="Arial"/>
          <w:b/>
          <w:color w:val="000000"/>
          <w:lang w:eastAsia="en-US"/>
        </w:rPr>
        <w:t>4.</w:t>
      </w:r>
      <w:r>
        <w:rPr>
          <w:rFonts w:cs="Arial" w:ascii="Arial" w:hAnsi="Arial"/>
          <w:lang w:eastAsia="en-US"/>
        </w:rPr>
        <w:t xml:space="preserve"> </w:t>
      </w:r>
      <w:r>
        <w:rPr>
          <w:rFonts w:cs="Arial" w:ascii="Arial" w:hAnsi="Arial"/>
          <w:b/>
          <w:lang w:eastAsia="en-US"/>
        </w:rPr>
        <w:t>СЪЩНОСТ НА ПРОЦЕДУРАТА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1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     </w:t>
      </w:r>
      <w:r>
        <w:rPr>
          <w:rFonts w:cs="Arial" w:ascii="Arial" w:hAnsi="Arial"/>
          <w:color w:val="000000"/>
          <w:lang w:eastAsia="en-US"/>
        </w:rPr>
        <w:t>4.1.</w:t>
      </w:r>
      <w:r>
        <w:rPr>
          <w:rFonts w:cs="Arial" w:ascii="Arial" w:hAnsi="Arial"/>
          <w:lang w:eastAsia="en-US"/>
        </w:rPr>
        <w:t xml:space="preserve"> Видове документи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"/>
        <w:jc w:val="both"/>
        <w:rPr/>
      </w:pPr>
      <w:r>
        <w:rPr>
          <w:rFonts w:cs="Arial" w:ascii="Arial" w:hAnsi="Arial"/>
          <w:lang w:eastAsia="en-US"/>
        </w:rPr>
        <w:t xml:space="preserve">           </w:t>
      </w:r>
      <w:r>
        <w:rPr>
          <w:rFonts w:cs="Arial" w:ascii="Arial" w:hAnsi="Arial"/>
          <w:lang w:eastAsia="en-US"/>
        </w:rPr>
        <w:t xml:space="preserve">Дейността на </w:t>
      </w:r>
      <w:r>
        <w:rPr>
          <w:rFonts w:cs="Arial" w:ascii="Arial" w:hAnsi="Arial"/>
          <w:color w:val="000000"/>
          <w:lang w:eastAsia="en-US"/>
        </w:rPr>
        <w:t>СМП ПЛЕВЕН ЕООД</w:t>
      </w:r>
      <w:r>
        <w:rPr>
          <w:rFonts w:cs="Arial" w:ascii="Arial" w:hAnsi="Arial"/>
          <w:lang w:eastAsia="en-US"/>
        </w:rPr>
        <w:t xml:space="preserve"> изисква спазване на следните видове документи, свързани опазване на БЗР: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"/>
        <w:jc w:val="both"/>
        <w:rPr/>
      </w:pPr>
      <w:r>
        <w:rPr>
          <w:rFonts w:cs="Arial" w:ascii="Arial" w:hAnsi="Arial"/>
          <w:lang w:eastAsia="en-US"/>
        </w:rPr>
        <w:t xml:space="preserve">           </w:t>
      </w:r>
      <w:r>
        <w:rPr>
          <w:rFonts w:cs="Arial" w:ascii="Arial" w:hAnsi="Arial"/>
          <w:lang w:eastAsia="en-US"/>
        </w:rPr>
        <w:t>- Законови и подзаконови нормативни актове;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 </w:t>
      </w:r>
      <w:r>
        <w:rPr>
          <w:rFonts w:cs="Arial" w:ascii="Arial" w:hAnsi="Arial"/>
          <w:lang w:eastAsia="en-US"/>
        </w:rPr>
        <w:t>- Програми по опазване на околната среда и за намаляване на рисковете за БЗР;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"/>
        <w:jc w:val="both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lang w:eastAsia="en-US"/>
        </w:rPr>
        <w:t xml:space="preserve">           </w:t>
      </w:r>
      <w:r>
        <w:rPr>
          <w:rFonts w:cs="Arial" w:ascii="Arial" w:hAnsi="Arial"/>
          <w:lang w:eastAsia="en-US"/>
        </w:rPr>
        <w:t>- Правила и норми за пожарната и аварийна безопасност, при бедствия и др.;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"/>
        <w:jc w:val="both"/>
        <w:rPr/>
      </w:pPr>
      <w:r>
        <w:rPr>
          <w:rFonts w:cs="Arial" w:ascii="Arial" w:hAnsi="Arial"/>
          <w:lang w:eastAsia="en-US"/>
        </w:rPr>
        <w:tab/>
        <w:t xml:space="preserve">          - Изисквания, заложени в Договори с възложители;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</w:t>
      </w:r>
      <w:r>
        <w:rPr>
          <w:rFonts w:cs="Arial" w:ascii="Arial" w:hAnsi="Arial"/>
          <w:lang w:eastAsia="en-US"/>
        </w:rPr>
        <w:t>- Изисквания, съобразени с инфраструктурата на територията;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</w:t>
      </w:r>
      <w:r>
        <w:rPr>
          <w:rFonts w:cs="Arial" w:ascii="Arial" w:hAnsi="Arial"/>
          <w:lang w:eastAsia="en-US"/>
        </w:rPr>
        <w:t>- Инструкции по отношение на БЗР</w:t>
      </w:r>
    </w:p>
    <w:p>
      <w:pPr>
        <w:pStyle w:val="Normal"/>
        <w:tabs>
          <w:tab w:val="clear" w:pos="708"/>
          <w:tab w:val="left" w:pos="720" w:leader="none"/>
          <w:tab w:val="left" w:pos="9639" w:leader="none"/>
        </w:tabs>
        <w:ind w:hanging="16" w:end="-1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</w:t>
      </w:r>
    </w:p>
    <w:p>
      <w:pPr>
        <w:pStyle w:val="Normal"/>
        <w:tabs>
          <w:tab w:val="clear" w:pos="708"/>
          <w:tab w:val="left" w:pos="720" w:leader="none"/>
          <w:tab w:val="left" w:pos="9639" w:leader="none"/>
        </w:tabs>
        <w:ind w:hanging="16" w:end="-1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ab/>
        <w:tab/>
        <w:t xml:space="preserve"> 4.2. Използвани документи</w:t>
      </w:r>
    </w:p>
    <w:p>
      <w:pPr>
        <w:pStyle w:val="Normal"/>
        <w:tabs>
          <w:tab w:val="clear" w:pos="708"/>
          <w:tab w:val="left" w:pos="567" w:leader="none"/>
        </w:tabs>
        <w:spacing w:lineRule="atLeast" w:line="300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          </w:t>
      </w:r>
      <w:r>
        <w:rPr>
          <w:rFonts w:cs="Arial" w:ascii="Arial" w:hAnsi="Arial"/>
          <w:color w:val="000000"/>
          <w:lang w:eastAsia="en-US"/>
        </w:rPr>
        <w:t>- Правилник за вътрешния ред на СМП ПЛЕВЕН ЕООД</w:t>
      </w:r>
      <w:r>
        <w:rPr>
          <w:rFonts w:cs="Arial" w:ascii="Arial" w:hAnsi="Arial"/>
          <w:lang w:eastAsia="en-US"/>
        </w:rPr>
        <w:t>;</w:t>
      </w:r>
      <w:r>
        <w:rPr>
          <w:rFonts w:cs="Arial" w:ascii="Arial" w:hAnsi="Arial"/>
          <w:color w:val="000000"/>
          <w:lang w:eastAsia="en-US"/>
        </w:rPr>
        <w:t xml:space="preserve"> </w:t>
      </w:r>
    </w:p>
    <w:p>
      <w:pPr>
        <w:pStyle w:val="Normal"/>
        <w:spacing w:lineRule="atLeast" w:line="30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 </w:t>
      </w:r>
      <w:r>
        <w:rPr>
          <w:rFonts w:cs="Arial" w:ascii="Arial" w:hAnsi="Arial"/>
          <w:lang w:eastAsia="en-US"/>
        </w:rPr>
        <w:t>- Длъжностни характеристики;</w:t>
      </w:r>
      <w:r>
        <w:rPr>
          <w:rFonts w:cs="Arial" w:ascii="Arial" w:hAnsi="Arial"/>
          <w:color w:val="000000"/>
          <w:lang w:eastAsia="en-US"/>
        </w:rPr>
        <w:t xml:space="preserve">           </w:t>
      </w:r>
    </w:p>
    <w:p>
      <w:pPr>
        <w:pStyle w:val="Normal"/>
        <w:spacing w:lineRule="atLeast" w:line="30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    </w:t>
      </w:r>
      <w:r>
        <w:rPr>
          <w:rFonts w:cs="Arial" w:ascii="Arial" w:hAnsi="Arial"/>
          <w:color w:val="000000"/>
          <w:lang w:eastAsia="en-US"/>
        </w:rPr>
        <w:t>- Процедури към ИСУ на СМП ПЛЕВЕН ЕООД</w:t>
      </w:r>
      <w:r>
        <w:rPr>
          <w:rFonts w:cs="Arial" w:ascii="Arial" w:hAnsi="Arial"/>
          <w:lang w:eastAsia="en-US"/>
        </w:rPr>
        <w:t>;</w:t>
      </w:r>
    </w:p>
    <w:p>
      <w:pPr>
        <w:pStyle w:val="Normal"/>
        <w:spacing w:lineRule="atLeast" w:line="30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 </w:t>
      </w:r>
      <w:r>
        <w:rPr>
          <w:rFonts w:cs="Arial" w:ascii="Arial" w:hAnsi="Arial"/>
          <w:lang w:eastAsia="en-US"/>
        </w:rPr>
        <w:t>- Заповеди;</w:t>
      </w:r>
    </w:p>
    <w:p>
      <w:pPr>
        <w:pStyle w:val="Normal"/>
        <w:spacing w:lineRule="atLeast" w:line="30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           </w:t>
      </w:r>
      <w:r>
        <w:rPr>
          <w:rFonts w:cs="Arial" w:ascii="Arial" w:hAnsi="Arial"/>
          <w:lang w:eastAsia="en-US"/>
        </w:rPr>
        <w:t xml:space="preserve"> </w:t>
      </w:r>
      <w:r>
        <w:rPr>
          <w:rFonts w:cs="Arial" w:ascii="Arial" w:hAnsi="Arial"/>
          <w:lang w:eastAsia="en-US"/>
        </w:rPr>
        <w:t xml:space="preserve">- Компетентности и правомощия произтичащи от документи на </w:t>
        <w:tab/>
        <w:t>възложител.</w:t>
      </w:r>
    </w:p>
    <w:p>
      <w:pPr>
        <w:pStyle w:val="Normal"/>
        <w:spacing w:lineRule="atLeast" w:line="300"/>
        <w:ind w:start="-360" w:end="0"/>
        <w:jc w:val="both"/>
        <w:rPr/>
      </w:pPr>
      <w:r>
        <w:rPr>
          <w:rFonts w:cs="Arial" w:ascii="Arial" w:hAnsi="Arial"/>
          <w:lang w:eastAsia="en-US"/>
        </w:rPr>
        <w:t xml:space="preserve">                </w:t>
      </w:r>
      <w:r>
        <w:rPr>
          <w:rFonts w:cs="Arial" w:ascii="Arial" w:hAnsi="Arial"/>
          <w:lang w:eastAsia="en-US"/>
        </w:rPr>
        <w:t xml:space="preserve">- Компетентности и правомощия произтичащи от документи на </w:t>
        <w:tab/>
        <w:tab/>
        <w:tab/>
        <w:t>държавни и общински институции.</w:t>
      </w:r>
    </w:p>
    <w:p>
      <w:pPr>
        <w:pStyle w:val="Normal"/>
        <w:spacing w:lineRule="atLeast" w:line="300"/>
        <w:ind w:start="-360" w:end="0"/>
        <w:jc w:val="both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1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         </w:t>
      </w:r>
      <w:r>
        <w:rPr>
          <w:rFonts w:cs="Arial" w:ascii="Arial" w:hAnsi="Arial"/>
          <w:color w:val="000000"/>
          <w:lang w:eastAsia="en-US"/>
        </w:rPr>
        <w:t xml:space="preserve">4.3. </w:t>
      </w:r>
      <w:r>
        <w:rPr>
          <w:rFonts w:cs="Arial" w:ascii="Arial" w:hAnsi="Arial"/>
          <w:lang w:eastAsia="en-US"/>
        </w:rPr>
        <w:t>Мониторинг и контрол по спазване на законодателството и другите изисквания приети от организацията.</w:t>
      </w:r>
      <w:r>
        <w:rPr>
          <w:rFonts w:cs="Arial" w:ascii="Arial" w:hAnsi="Arial"/>
          <w:color w:val="000000"/>
          <w:lang w:eastAsia="en-US"/>
        </w:rPr>
        <w:t xml:space="preserve">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          </w:t>
      </w:r>
      <w:r>
        <w:rPr>
          <w:rFonts w:cs="Arial" w:ascii="Arial" w:hAnsi="Arial"/>
          <w:lang w:eastAsia="en-US"/>
        </w:rPr>
        <w:t xml:space="preserve">В </w:t>
      </w:r>
      <w:r>
        <w:rPr>
          <w:rFonts w:cs="Arial" w:ascii="Arial" w:hAnsi="Arial"/>
          <w:color w:val="000000"/>
          <w:lang w:eastAsia="en-US"/>
        </w:rPr>
        <w:t xml:space="preserve">СМП ПЛЕВЕН ЕООД </w:t>
      </w:r>
      <w:r>
        <w:rPr>
          <w:rFonts w:cs="Arial" w:ascii="Arial" w:hAnsi="Arial"/>
          <w:lang w:eastAsia="en-US"/>
        </w:rPr>
        <w:t>са планирани и въведени процеси за наблюдение, качествено и количествено измерване, анализ на ефективността на мерките за управление на системата за оценяване на съответствието и стремеж към подобряване.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"/>
        <w:jc w:val="both"/>
        <w:rPr>
          <w:rFonts w:ascii="Arial" w:hAnsi="Arial" w:cs="Arial"/>
          <w:color w:val="FF0000"/>
          <w:lang w:eastAsia="en-US"/>
        </w:rPr>
      </w:pPr>
      <w:r>
        <w:rPr>
          <w:rFonts w:cs="Arial" w:ascii="Arial" w:hAnsi="Arial"/>
          <w:lang w:eastAsia="en-US"/>
        </w:rPr>
        <w:t xml:space="preserve">          </w:t>
      </w:r>
      <w:r>
        <w:rPr>
          <w:rFonts w:cs="Arial" w:ascii="Arial" w:hAnsi="Arial"/>
          <w:lang w:eastAsia="en-US"/>
        </w:rPr>
        <w:t>Ръководството се стреми да постигне висока степен на защита от  рискове за БЗР и непрекъснато да се подобрява. Това налага установяване и поддържане на непрекъснат контрол и набиране на необходимата информация за изпълнение на процесите, свързани БЗР. Анализът на натрупаната информация определя доколко са постигнати заложените цели във Ф2-09 „Програма за намаляване на риска“.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0"/>
        <w:jc w:val="both"/>
        <w:rPr/>
      </w:pPr>
      <w:r>
        <w:rPr>
          <w:rFonts w:cs="Arial" w:ascii="Arial" w:hAnsi="Arial"/>
          <w:color w:val="000000"/>
          <w:lang w:eastAsia="en-US"/>
        </w:rPr>
        <w:tab/>
        <w:t xml:space="preserve">          </w:t>
      </w:r>
      <w:r>
        <w:rPr>
          <w:rFonts w:cs="Arial" w:ascii="Arial" w:hAnsi="Arial"/>
          <w:lang w:eastAsia="en-US"/>
        </w:rPr>
        <w:t>Методите за контрол и анализ на процесите са описани в Наръчника и съответните процедури.</w:t>
      </w:r>
      <w:r>
        <w:rPr>
          <w:rFonts w:cs="Arial" w:ascii="Arial" w:hAnsi="Arial"/>
          <w:bCs/>
          <w:lang w:eastAsia="en-US"/>
        </w:rPr>
        <w:t xml:space="preserve"> В разработените процедури, по които се работи във фирмата са описани етапите, на които се извършва контрол за съответствие  на постигнатите резултати с поставените цели. Посочени са документите, които удостоверяват със записите си установени съответствия или несъответствия.</w:t>
      </w:r>
    </w:p>
    <w:p>
      <w:pPr>
        <w:pStyle w:val="Normal"/>
        <w:spacing w:before="120" w:after="0"/>
        <w:jc w:val="both"/>
        <w:rPr/>
      </w:pPr>
      <w:r>
        <w:rPr>
          <w:rFonts w:cs="Arial" w:ascii="Arial" w:hAnsi="Arial"/>
          <w:b/>
          <w:bCs/>
          <w:lang w:eastAsia="en-US"/>
        </w:rPr>
        <w:t xml:space="preserve">           </w:t>
      </w:r>
      <w:r>
        <w:rPr>
          <w:rFonts w:cs="Arial" w:ascii="Arial" w:hAnsi="Arial"/>
          <w:bCs/>
          <w:lang w:eastAsia="en-US"/>
        </w:rPr>
        <w:t>4.4.Оценяване на съответствието</w:t>
      </w:r>
    </w:p>
    <w:p>
      <w:pPr>
        <w:pStyle w:val="BodyText"/>
        <w:tabs>
          <w:tab w:val="clear" w:pos="708"/>
          <w:tab w:val="left" w:pos="-2340" w:leader="none"/>
          <w:tab w:val="left" w:pos="-2250" w:leader="none"/>
        </w:tabs>
        <w:rPr/>
      </w:pPr>
      <w:r>
        <w:rPr>
          <w:rFonts w:cs="Arial"/>
          <w:sz w:val="24"/>
          <w:szCs w:val="24"/>
        </w:rPr>
        <w:t xml:space="preserve">           </w:t>
      </w:r>
      <w:r>
        <w:rPr>
          <w:rFonts w:cs="Arial"/>
          <w:sz w:val="24"/>
          <w:szCs w:val="24"/>
        </w:rPr>
        <w:t>Осъществяваната политика и свързаните с нейното прилагане цели, се базира на точна и обективна информация за състоянието на процесите, за съответствието на това състояние с определените изисквания в нормативната и друга документация. Води се Ф5-06 „Дневник за оценка на съответствието”, който се актуализира на всеки шест месеца.</w:t>
      </w:r>
    </w:p>
    <w:p>
      <w:pPr>
        <w:pStyle w:val="BodyText"/>
        <w:rPr/>
      </w:pPr>
      <w:r>
        <w:rPr>
          <w:rFonts w:cs="Arial"/>
          <w:sz w:val="24"/>
          <w:szCs w:val="24"/>
        </w:rPr>
        <w:t xml:space="preserve">          </w:t>
      </w:r>
      <w:r>
        <w:rPr>
          <w:rFonts w:cs="Arial"/>
          <w:sz w:val="24"/>
          <w:szCs w:val="24"/>
        </w:rPr>
        <w:t xml:space="preserve">Измерването на степента на осигуряване опазването на околната среда и оценката на рисковете за БЗР в </w:t>
      </w:r>
      <w:r>
        <w:rPr>
          <w:rFonts w:cs="Arial"/>
          <w:color w:val="000000"/>
          <w:sz w:val="24"/>
          <w:szCs w:val="24"/>
        </w:rPr>
        <w:t xml:space="preserve">СМП ПЛЕВЕН ЕООД </w:t>
      </w:r>
      <w:r>
        <w:rPr>
          <w:rFonts w:cs="Arial"/>
          <w:sz w:val="24"/>
          <w:szCs w:val="24"/>
        </w:rPr>
        <w:t>има за цел да определи:</w:t>
      </w:r>
    </w:p>
    <w:p>
      <w:pPr>
        <w:pStyle w:val="BodyText"/>
        <w:ind w:firstLine="720" w:end="0"/>
        <w:rPr/>
      </w:pPr>
      <w:r>
        <w:rPr>
          <w:rFonts w:cs="Arial"/>
          <w:sz w:val="24"/>
          <w:szCs w:val="24"/>
        </w:rPr>
        <w:t>- постигнати ли са политиката и целите за БЗР;</w:t>
      </w:r>
    </w:p>
    <w:p>
      <w:pPr>
        <w:pStyle w:val="BodyText"/>
        <w:ind w:firstLine="720" w:end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- взети ли са поуки от проявени недостатъци на системата (злополуки, инциденти, случаи на заболявания и др.);</w:t>
      </w:r>
    </w:p>
    <w:p>
      <w:pPr>
        <w:pStyle w:val="BodyText"/>
        <w:ind w:firstLine="720" w:end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- ефикасността на програмите за осъзнаване, обучение, обмен на информация и консултации за персонала и заинтересованите страни; </w:t>
      </w:r>
    </w:p>
    <w:p>
      <w:pPr>
        <w:pStyle w:val="BodyText"/>
        <w:ind w:firstLine="720" w:end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-получена и използвана ли е информацията, която може да бъде използвана за преглед и за подобряване на аспекти от системата за управление.</w:t>
      </w:r>
    </w:p>
    <w:p>
      <w:pPr>
        <w:pStyle w:val="BodyText"/>
        <w:tabs>
          <w:tab w:val="clear" w:pos="708"/>
          <w:tab w:val="left" w:pos="-2340" w:leader="none"/>
          <w:tab w:val="left" w:pos="-2250" w:leader="none"/>
        </w:tabs>
        <w:ind w:hanging="720" w:end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    </w:t>
      </w:r>
      <w:r>
        <w:rPr>
          <w:rFonts w:cs="Arial"/>
          <w:sz w:val="24"/>
          <w:szCs w:val="24"/>
        </w:rPr>
        <w:tab/>
        <w:t xml:space="preserve">           Оценката  за съответствие с изискванията на нормативните документи служи за предприемане на  коригиращи действия.</w:t>
      </w:r>
    </w:p>
    <w:p>
      <w:pPr>
        <w:pStyle w:val="Normal"/>
        <w:tabs>
          <w:tab w:val="clear" w:pos="708"/>
          <w:tab w:val="left" w:pos="0" w:leader="none"/>
          <w:tab w:val="left" w:pos="9923" w:leader="none"/>
        </w:tabs>
        <w:ind w:start="142" w:end="141"/>
        <w:jc w:val="both"/>
        <w:rPr>
          <w:rFonts w:ascii="Arial" w:hAnsi="Arial" w:cs="Arial"/>
          <w:b/>
          <w:color w:val="000000"/>
          <w:lang w:eastAsia="en-US"/>
        </w:rPr>
      </w:pPr>
      <w:r>
        <w:rPr>
          <w:rFonts w:cs="Arial" w:ascii="Arial" w:hAnsi="Arial"/>
          <w:b/>
          <w:color w:val="000000"/>
          <w:lang w:eastAsia="en-US"/>
        </w:rPr>
        <w:t xml:space="preserve">   </w:t>
      </w:r>
      <w:r>
        <w:rPr>
          <w:rFonts w:cs="Arial" w:ascii="Arial" w:hAnsi="Arial"/>
          <w:b/>
          <w:color w:val="000000"/>
          <w:lang w:eastAsia="en-US"/>
        </w:rPr>
        <w:t xml:space="preserve">Съпътстващи документи 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ind w:hanging="360" w:start="720" w:end="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Ф5-06 „Дневник за оценка на съответствието”</w:t>
      </w:r>
    </w:p>
    <w:p>
      <w:pPr>
        <w:pStyle w:val="Normal"/>
        <w:ind w:end="566"/>
        <w:jc w:val="both"/>
        <w:rPr/>
      </w:pPr>
      <w:r>
        <w:rPr>
          <w:rFonts w:cs="Arial" w:ascii="Arial" w:hAnsi="Arial"/>
          <w:lang w:eastAsia="en-US"/>
        </w:rPr>
        <w:t xml:space="preserve">     </w:t>
      </w:r>
      <w:r>
        <w:rPr>
          <w:rFonts w:cs="Arial" w:ascii="Arial" w:hAnsi="Arial"/>
          <w:b/>
          <w:lang w:eastAsia="en-US"/>
        </w:rPr>
        <w:t>Отговорности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-720" w:leader="none"/>
          <w:tab w:val="left" w:pos="720" w:leader="none"/>
          <w:tab w:val="left" w:pos="993" w:leader="none"/>
        </w:tabs>
        <w:ind w:hanging="360" w:start="720" w:end="0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Управител и ръководители звена</w:t>
      </w:r>
    </w:p>
    <w:p>
      <w:pPr>
        <w:pStyle w:val="BodyText"/>
        <w:tabs>
          <w:tab w:val="clear" w:pos="708"/>
          <w:tab w:val="left" w:pos="-720" w:leader="none"/>
        </w:tabs>
        <w:ind w:start="360" w:end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</w:t>
      </w:r>
      <w:r>
        <w:rPr>
          <w:rFonts w:cs="Arial"/>
          <w:sz w:val="24"/>
          <w:szCs w:val="24"/>
        </w:rPr>
        <w:t xml:space="preserve">-утвърждава изискванията от съответните документи за оценка на съответствието  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-720" w:leader="none"/>
          <w:tab w:val="left" w:pos="720" w:leader="none"/>
          <w:tab w:val="left" w:pos="993" w:leader="none"/>
          <w:tab w:val="left" w:pos="9639" w:leader="none"/>
        </w:tabs>
        <w:ind w:hanging="360" w:start="720" w:end="425"/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 </w:t>
      </w:r>
      <w:r>
        <w:rPr>
          <w:rFonts w:cs="Arial"/>
          <w:b/>
          <w:sz w:val="24"/>
          <w:szCs w:val="24"/>
        </w:rPr>
        <w:t xml:space="preserve">Представител от ръководството </w:t>
      </w:r>
    </w:p>
    <w:p>
      <w:pPr>
        <w:pStyle w:val="BodyText"/>
        <w:rPr>
          <w:rFonts w:cs="Arial"/>
          <w:sz w:val="24"/>
          <w:szCs w:val="24"/>
          <w:lang w:val="en-US"/>
        </w:rPr>
      </w:pPr>
      <w:r>
        <w:rPr>
          <w:rFonts w:cs="Arial"/>
          <w:sz w:val="24"/>
          <w:szCs w:val="24"/>
        </w:rPr>
        <w:t xml:space="preserve">            </w:t>
      </w:r>
      <w:r>
        <w:rPr>
          <w:rFonts w:cs="Arial"/>
          <w:sz w:val="24"/>
          <w:szCs w:val="24"/>
        </w:rPr>
        <w:t>-организира мониторинга и оценяване на съответствието.</w:t>
      </w:r>
    </w:p>
    <w:p>
      <w:pPr>
        <w:pStyle w:val="BodyText"/>
        <w:rPr>
          <w:rFonts w:cs="Arial"/>
          <w:sz w:val="24"/>
          <w:szCs w:val="24"/>
          <w:lang w:val="en-US"/>
        </w:rPr>
      </w:pPr>
      <w:r>
        <w:rPr>
          <w:rFonts w:cs="Arial"/>
          <w:sz w:val="24"/>
          <w:szCs w:val="24"/>
          <w:lang w:val="en-US"/>
        </w:rPr>
      </w:r>
    </w:p>
    <w:tbl>
      <w:tblPr>
        <w:tblW w:w="992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851"/>
      </w:tblGrid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bidi="he-IL"/>
              </w:rPr>
            </w:pPr>
            <w:r>
              <w:rPr>
                <w:rFonts w:cs="Arial" w:ascii="Arial" w:hAnsi="Arial"/>
                <w:sz w:val="22"/>
              </w:rPr>
              <w:t>Изготвил:, ……………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bidi="he-IL"/>
              </w:rPr>
            </w:pPr>
            <w:r>
              <w:rPr>
                <w:rFonts w:cs="Arial" w:ascii="Arial" w:hAnsi="Arial"/>
                <w:sz w:val="22"/>
              </w:rPr>
              <w:t>Утвърдил:, ……………</w:t>
            </w:r>
          </w:p>
        </w:tc>
      </w:tr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bidi="he-IL"/>
              </w:rPr>
            </w:pPr>
            <w:r>
              <w:rPr>
                <w:rFonts w:cs="Arial" w:ascii="Arial" w:hAnsi="Arial"/>
                <w:sz w:val="22"/>
              </w:rPr>
              <w:t>Дата: 12.0</w:t>
            </w:r>
            <w:r>
              <w:rPr>
                <w:rFonts w:cs="Arial" w:ascii="Arial" w:hAnsi="Arial"/>
                <w:sz w:val="22"/>
                <w:lang w:val="en-US"/>
              </w:rPr>
              <w:t>1</w:t>
            </w:r>
            <w:r>
              <w:rPr>
                <w:rFonts w:cs="Arial" w:ascii="Arial" w:hAnsi="Arial"/>
                <w:sz w:val="22"/>
              </w:rPr>
              <w:t>.20</w:t>
            </w:r>
            <w:r>
              <w:rPr>
                <w:rFonts w:cs="Arial" w:ascii="Arial" w:hAnsi="Arial"/>
                <w:sz w:val="22"/>
                <w:lang w:val="en-US"/>
              </w:rPr>
              <w:t>2</w:t>
            </w:r>
            <w:r>
              <w:rPr>
                <w:rFonts w:cs="Arial" w:ascii="Arial" w:hAnsi="Arial"/>
                <w:sz w:val="22"/>
              </w:rPr>
              <w:t>6 г.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bidi="he-IL"/>
              </w:rPr>
            </w:pPr>
            <w:r>
              <w:rPr>
                <w:rFonts w:cs="Arial" w:ascii="Arial" w:hAnsi="Arial"/>
                <w:sz w:val="22"/>
              </w:rPr>
              <w:t>Дата: 12.01.2026 г.</w:t>
            </w:r>
          </w:p>
        </w:tc>
      </w:tr>
    </w:tbl>
    <w:p>
      <w:pPr>
        <w:pStyle w:val="BodyText"/>
        <w:rPr>
          <w:rFonts w:cs="Arial"/>
          <w:lang w:val="en-US"/>
        </w:rPr>
      </w:pPr>
      <w:r>
        <w:rPr>
          <w:rFonts w:cs="Arial"/>
          <w:lang w:val="en-US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2269" w:footer="708" w:bottom="184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3708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2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2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</w:t>
          </w:r>
          <w:r>
            <w:rPr>
              <w:rFonts w:cs="Arial" w:ascii="Arial" w:hAnsi="Arial"/>
              <w:sz w:val="20"/>
              <w:szCs w:val="20"/>
              <w:lang w:val="en-US"/>
            </w:rPr>
            <w:t>1</w:t>
          </w:r>
          <w:r>
            <w:rPr>
              <w:rFonts w:cs="Arial" w:ascii="Arial" w:hAnsi="Arial"/>
              <w:sz w:val="20"/>
              <w:szCs w:val="20"/>
            </w:rPr>
            <w:t>.20</w:t>
          </w:r>
          <w:r>
            <w:rPr>
              <w:rFonts w:cs="Arial" w:ascii="Arial" w:hAnsi="Arial"/>
              <w:sz w:val="20"/>
              <w:szCs w:val="20"/>
              <w:lang w:val="en-US"/>
            </w:rPr>
            <w:t>2</w:t>
          </w:r>
          <w:r>
            <w:rPr>
              <w:rFonts w:cs="Arial" w:ascii="Arial" w:hAnsi="Arial"/>
              <w:sz w:val="20"/>
              <w:szCs w:val="20"/>
            </w:rPr>
            <w:t>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lang w:val="en-US"/>
            </w:rPr>
          </w:pPr>
          <w:r>
            <w:rPr>
              <w:rFonts w:cs="Arial" w:ascii="Arial" w:hAnsi="Arial"/>
              <w:b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Описание на процес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док. ном.: ОП5-03</w:t>
          </w:r>
        </w:p>
      </w:tc>
    </w:tr>
    <w:tr>
      <w:trPr>
        <w:trHeight w:val="939" w:hRule="atLeast"/>
      </w:trPr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Система за оценяване на съответствието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sz w:val="16"/>
      <w:szCs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2026-03-23T19:23:00Z</dcterms:modified>
  <cp:revision>56</cp:revision>
  <dc:subject/>
  <dc:title/>
</cp:coreProperties>
</file>