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360" w:end="0"/>
        <w:jc w:val="both"/>
        <w:rPr>
          <w:b/>
          <w:lang w:val="bg-BG"/>
        </w:rPr>
      </w:pPr>
      <w:r>
        <w:rPr>
          <w:lang w:val="bg-BG"/>
        </w:rPr>
        <w:tab/>
        <w:tab/>
        <w:tab/>
        <w:tab/>
      </w:r>
    </w:p>
    <w:p>
      <w:pPr>
        <w:pStyle w:val="Normal"/>
        <w:ind w:start="360" w:end="0"/>
        <w:jc w:val="both"/>
        <w:rPr>
          <w:b/>
          <w:lang w:val="bg-BG"/>
        </w:rPr>
      </w:pPr>
      <w:r>
        <w:rPr>
          <w:b/>
          <w:lang w:val="bg-BG"/>
        </w:rPr>
      </w:r>
    </w:p>
    <w:p>
      <w:pPr>
        <w:pStyle w:val="Normal"/>
        <w:ind w:start="360" w:end="0"/>
        <w:jc w:val="center"/>
        <w:rPr>
          <w:b/>
          <w:lang w:val="bg-BG"/>
        </w:rPr>
      </w:pPr>
      <w:r>
        <w:rPr>
          <w:b/>
          <w:lang w:val="bg-BG"/>
        </w:rPr>
        <w:t>ДОКЛАД ОТ ОДИТ</w:t>
      </w:r>
    </w:p>
    <w:p>
      <w:pPr>
        <w:pStyle w:val="Normal"/>
        <w:ind w:start="360" w:end="0"/>
        <w:jc w:val="both"/>
        <w:rPr>
          <w:b/>
          <w:lang w:val="bg-BG"/>
        </w:rPr>
      </w:pPr>
      <w:r>
        <w:rPr>
          <w:b/>
          <w:lang w:val="bg-BG"/>
        </w:rPr>
      </w:r>
    </w:p>
    <w:p>
      <w:pPr>
        <w:pStyle w:val="Normal"/>
        <w:ind w:start="360" w:end="0"/>
        <w:jc w:val="both"/>
        <w:rPr>
          <w:lang w:val="bg-BG"/>
        </w:rPr>
      </w:pPr>
      <w:r>
        <w:rPr>
          <w:lang w:val="bg-BG"/>
        </w:rPr>
        <w:t xml:space="preserve">Одитирана област: Интегрирана система за управление на </w:t>
      </w:r>
      <w:r>
        <w:rPr>
          <w:rFonts w:cs="Arial"/>
          <w:lang w:val="bg-BG"/>
        </w:rPr>
        <w:t>СМП ПЛЕВЕН ЕООД</w:t>
      </w:r>
    </w:p>
    <w:p>
      <w:pPr>
        <w:pStyle w:val="Normal"/>
        <w:ind w:start="360" w:end="0"/>
        <w:jc w:val="both"/>
        <w:rPr>
          <w:lang w:val="bg-BG"/>
        </w:rPr>
      </w:pPr>
      <w:r>
        <w:rPr>
          <w:lang w:val="bg-BG"/>
        </w:rPr>
        <w:tab/>
        <w:tab/>
        <w:tab/>
      </w:r>
    </w:p>
    <w:p>
      <w:pPr>
        <w:pStyle w:val="Normal"/>
        <w:spacing w:before="240" w:after="0"/>
        <w:ind w:start="357" w:end="0"/>
        <w:jc w:val="both"/>
        <w:rPr/>
      </w:pPr>
      <w:r>
        <w:rPr>
          <w:lang w:val="bg-BG"/>
        </w:rPr>
        <w:t>Водещ одитор: Юлиян Койчев</w:t>
      </w:r>
    </w:p>
    <w:p>
      <w:pPr>
        <w:pStyle w:val="Normal"/>
        <w:spacing w:before="240" w:after="0"/>
        <w:ind w:start="357" w:end="0"/>
        <w:jc w:val="both"/>
        <w:rPr/>
      </w:pPr>
      <w:r>
        <w:rPr>
          <w:lang w:val="bg-BG"/>
        </w:rPr>
        <w:t>Одитор:             Георги Христов</w:t>
        <w:tab/>
        <w:tab/>
        <w:t xml:space="preserve">                                  </w:t>
      </w:r>
    </w:p>
    <w:p>
      <w:pPr>
        <w:pStyle w:val="Normal"/>
        <w:spacing w:before="240" w:after="0"/>
        <w:ind w:start="357" w:end="0"/>
        <w:jc w:val="both"/>
        <w:rPr/>
      </w:pPr>
      <w:r>
        <w:rPr>
          <w:lang w:val="bg-BG"/>
        </w:rPr>
        <w:t>Време на провеждане на одита: 05.03.2026 г.</w:t>
      </w:r>
    </w:p>
    <w:p>
      <w:pPr>
        <w:pStyle w:val="Normal"/>
        <w:ind w:start="360" w:end="0"/>
        <w:jc w:val="both"/>
        <w:rPr>
          <w:lang w:val="bg-BG"/>
        </w:rPr>
      </w:pPr>
      <w:r>
        <w:rPr>
          <w:lang w:val="bg-BG"/>
        </w:rPr>
      </w:r>
    </w:p>
    <w:p>
      <w:pPr>
        <w:pStyle w:val="Normal"/>
        <w:ind w:start="360" w:end="0"/>
        <w:jc w:val="both"/>
        <w:rPr>
          <w:b/>
          <w:u w:val="single"/>
          <w:lang w:val="bg-BG"/>
        </w:rPr>
      </w:pPr>
      <w:r>
        <w:rPr>
          <w:b/>
          <w:u w:val="single"/>
          <w:lang w:val="bg-BG"/>
        </w:rPr>
        <w:t xml:space="preserve">Констатации: </w:t>
      </w:r>
    </w:p>
    <w:p>
      <w:pPr>
        <w:pStyle w:val="Normal"/>
        <w:ind w:start="360" w:end="0"/>
        <w:jc w:val="both"/>
        <w:rPr>
          <w:b/>
          <w:u w:val="single"/>
          <w:lang w:val="bg-BG"/>
        </w:rPr>
      </w:pPr>
      <w:r>
        <w:rPr>
          <w:b/>
          <w:u w:val="single"/>
          <w:lang w:val="bg-BG"/>
        </w:rPr>
      </w:r>
    </w:p>
    <w:p>
      <w:pPr>
        <w:pStyle w:val="Normal"/>
        <w:ind w:start="360" w:end="0"/>
        <w:jc w:val="both"/>
        <w:rPr>
          <w:lang w:val="bg-BG"/>
        </w:rPr>
      </w:pPr>
      <w:r>
        <w:rPr>
          <w:lang w:val="bg-BG"/>
        </w:rPr>
        <w:t>4.1.Разбиране на организацията и нейния контекст</w:t>
      </w:r>
    </w:p>
    <w:p>
      <w:pPr>
        <w:pStyle w:val="Normal"/>
        <w:ind w:start="360" w:end="0"/>
        <w:jc w:val="both"/>
        <w:rPr>
          <w:lang w:val="bg-BG"/>
        </w:rPr>
      </w:pPr>
      <w:r>
        <w:rPr>
          <w:lang w:val="bg-BG"/>
        </w:rPr>
      </w:r>
    </w:p>
    <w:p>
      <w:pPr>
        <w:pStyle w:val="Normal"/>
        <w:ind w:start="360" w:end="0"/>
        <w:jc w:val="both"/>
        <w:rPr/>
      </w:pPr>
      <w:r>
        <w:rPr>
          <w:lang w:val="bg-BG"/>
        </w:rPr>
        <w:t>Вътрешните и външни обстоятелства от значение за постигане на политиката по БЗР и стратегическите цели са определени в ИН1 и ИН2 и бяха представени в разговор с управителя на дружеството. Вътрешните обстоятелства касаят осигуряването на ресурси – материални, финансови и човешки, а външните имат отношение към политическата и икономическа макрообстановка, както и към законодателната рамка, чрез която може да се окаже влияние върху бизнеса в бранша.</w:t>
      </w:r>
    </w:p>
    <w:p>
      <w:pPr>
        <w:pStyle w:val="Normal"/>
        <w:ind w:start="360" w:end="0"/>
        <w:jc w:val="both"/>
        <w:rPr>
          <w:lang w:val="bg-BG"/>
        </w:rPr>
      </w:pPr>
      <w:r>
        <w:rPr>
          <w:lang w:val="bg-BG"/>
        </w:rPr>
      </w:r>
    </w:p>
    <w:p>
      <w:pPr>
        <w:pStyle w:val="Normal"/>
        <w:ind w:start="360" w:end="0"/>
        <w:jc w:val="both"/>
        <w:rPr>
          <w:lang w:val="bg-BG"/>
        </w:rPr>
      </w:pPr>
      <w:r>
        <w:rPr>
          <w:lang w:val="bg-BG"/>
        </w:rPr>
        <w:t>4.2.Разбиране на потребностите и очакванията на заинтересованите страни</w:t>
      </w:r>
    </w:p>
    <w:p>
      <w:pPr>
        <w:pStyle w:val="Normal"/>
        <w:ind w:start="360" w:end="0"/>
        <w:jc w:val="both"/>
        <w:rPr>
          <w:lang w:val="bg-BG"/>
        </w:rPr>
      </w:pPr>
      <w:r>
        <w:rPr>
          <w:lang w:val="bg-BG"/>
        </w:rPr>
      </w:r>
    </w:p>
    <w:p>
      <w:pPr>
        <w:pStyle w:val="Normal"/>
        <w:ind w:start="360" w:end="0"/>
        <w:jc w:val="both"/>
        <w:rPr/>
      </w:pPr>
      <w:r>
        <w:rPr>
          <w:lang w:val="bg-BG"/>
        </w:rPr>
        <w:t>Ръководството на дружеството е в постоянен контакт със заинтересованите страни, свързани с функционирането на СУ и по време на процеса по преработка на системата, поддържа тесен контакт с тях, за да бъде възможно удовлетворяването на изискванията им.</w:t>
      </w:r>
    </w:p>
    <w:p>
      <w:pPr>
        <w:pStyle w:val="Normal"/>
        <w:ind w:start="360" w:end="0"/>
        <w:jc w:val="both"/>
        <w:rPr/>
      </w:pPr>
      <w:r>
        <w:rPr>
          <w:lang w:val="bg-BG"/>
        </w:rPr>
        <w:t xml:space="preserve">Заинтересованите страни са предимно възложителите на фирмата, финансовите институции, кредитиращи дейността на дружеството, доставчици и крайни клиенти. По време на одита, ръководството представи и други заинтересовани страни – държавни контролни органи и общинските администрации, на чиято територия се намират офисите на фирмата. </w:t>
      </w:r>
    </w:p>
    <w:p>
      <w:pPr>
        <w:pStyle w:val="Normal"/>
        <w:ind w:start="360" w:end="0"/>
        <w:jc w:val="both"/>
        <w:rPr>
          <w:lang w:val="bg-BG"/>
        </w:rPr>
      </w:pPr>
      <w:r>
        <w:rPr>
          <w:lang w:val="bg-BG"/>
        </w:rPr>
        <w:t>Списък със заинтересованите страни е наличен и бе представен на одита.</w:t>
      </w:r>
    </w:p>
    <w:p>
      <w:pPr>
        <w:pStyle w:val="Normal"/>
        <w:ind w:start="360" w:end="0"/>
        <w:jc w:val="both"/>
        <w:rPr>
          <w:lang w:val="bg-BG"/>
        </w:rPr>
      </w:pPr>
      <w:r>
        <w:rPr>
          <w:lang w:val="bg-BG"/>
        </w:rPr>
      </w:r>
    </w:p>
    <w:p>
      <w:pPr>
        <w:pStyle w:val="Normal"/>
        <w:ind w:start="360" w:end="0"/>
        <w:jc w:val="both"/>
        <w:rPr/>
      </w:pPr>
      <w:r>
        <w:rPr>
          <w:lang w:val="bg-BG"/>
        </w:rPr>
        <w:t>4.3.Определяне обхвата на СУ</w:t>
      </w:r>
    </w:p>
    <w:p>
      <w:pPr>
        <w:pStyle w:val="Normal"/>
        <w:ind w:start="360" w:end="0"/>
        <w:jc w:val="both"/>
        <w:rPr>
          <w:lang w:val="bg-BG"/>
        </w:rPr>
      </w:pPr>
      <w:r>
        <w:rPr>
          <w:lang w:val="bg-BG"/>
        </w:rPr>
      </w:r>
    </w:p>
    <w:p>
      <w:pPr>
        <w:pStyle w:val="Normal"/>
        <w:ind w:start="360" w:end="0"/>
        <w:jc w:val="both"/>
        <w:rPr/>
      </w:pPr>
      <w:r>
        <w:rPr>
          <w:lang w:val="bg-BG"/>
        </w:rPr>
        <w:t>Обхватът на системата е определен в ИН1. При определянето му са взети под внимание обстоятелствата и изискванията, заложени в стандарта.</w:t>
      </w:r>
    </w:p>
    <w:p>
      <w:pPr>
        <w:pStyle w:val="Normal"/>
        <w:ind w:start="360" w:end="0"/>
        <w:jc w:val="both"/>
        <w:rPr>
          <w:lang w:val="bg-BG"/>
        </w:rPr>
      </w:pPr>
      <w:r>
        <w:rPr>
          <w:lang w:val="bg-BG"/>
        </w:rPr>
      </w:r>
    </w:p>
    <w:p>
      <w:pPr>
        <w:pStyle w:val="Normal"/>
        <w:ind w:start="360" w:end="0"/>
        <w:jc w:val="both"/>
        <w:rPr/>
      </w:pPr>
      <w:r>
        <w:rPr>
          <w:lang w:val="bg-BG"/>
        </w:rPr>
        <w:t>4.4.СУ и нейните процеси</w:t>
      </w:r>
    </w:p>
    <w:p>
      <w:pPr>
        <w:pStyle w:val="Normal"/>
        <w:ind w:start="360" w:end="0"/>
        <w:jc w:val="both"/>
        <w:rPr>
          <w:lang w:val="bg-BG"/>
        </w:rPr>
      </w:pPr>
      <w:r>
        <w:rPr>
          <w:lang w:val="bg-BG"/>
        </w:rPr>
      </w:r>
    </w:p>
    <w:p>
      <w:pPr>
        <w:pStyle w:val="Normal"/>
        <w:ind w:start="360" w:end="0"/>
        <w:jc w:val="both"/>
        <w:rPr/>
      </w:pPr>
      <w:r>
        <w:rPr>
          <w:lang w:val="bg-BG"/>
        </w:rPr>
        <w:t>Представената система за управление е процесоориентирана, отговаря на изискванията на стандартите ISO 45001:2023, свързана е с практиката и е съобразена с големината, структурата и спецификата на дейността на дружеството. Процесите са идентифицирани, описани и е указана взаимовръзката между тях. Проверката по време на одита показа и реалното им изпълнение.</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t>5.1.Лидерство и ангажираност</w:t>
      </w:r>
    </w:p>
    <w:p>
      <w:pPr>
        <w:pStyle w:val="Normal"/>
        <w:ind w:start="360" w:end="0"/>
        <w:jc w:val="both"/>
        <w:rPr>
          <w:lang w:val="bg-BG"/>
        </w:rPr>
      </w:pPr>
      <w:r>
        <w:rPr>
          <w:lang w:val="bg-BG"/>
        </w:rPr>
      </w:r>
    </w:p>
    <w:p>
      <w:pPr>
        <w:pStyle w:val="Normal"/>
        <w:ind w:start="360" w:end="0"/>
        <w:jc w:val="both"/>
        <w:rPr/>
      </w:pPr>
      <w:r>
        <w:rPr>
          <w:lang w:val="bg-BG"/>
        </w:rPr>
        <w:t xml:space="preserve">Управителят следва ясна стратегия за развитие на предприятието. Тя основно е ориентирана към максимално и комплексно задоволяване на нуждите на клиента и поддържането на високо качество на услугите и дейностите. </w:t>
      </w:r>
    </w:p>
    <w:p>
      <w:pPr>
        <w:pStyle w:val="Normal"/>
        <w:ind w:start="360" w:end="0"/>
        <w:jc w:val="both"/>
        <w:rPr/>
      </w:pPr>
      <w:r>
        <w:rPr>
          <w:lang w:val="bg-BG"/>
        </w:rPr>
        <w:t xml:space="preserve">Има изградени политика и цели по БЗР а 2026 година. Във връзка с това в предприятието се практикува система за регистриране на данните от дейността. </w:t>
      </w:r>
    </w:p>
    <w:p>
      <w:pPr>
        <w:pStyle w:val="Normal"/>
        <w:ind w:start="360" w:end="0"/>
        <w:jc w:val="both"/>
        <w:rPr>
          <w:lang w:val="bg-BG"/>
        </w:rPr>
      </w:pPr>
      <w:r>
        <w:rPr>
          <w:lang w:val="bg-BG"/>
        </w:rPr>
        <w:t>Ориентацията към клиента се изразява в следните насоки:</w:t>
      </w:r>
    </w:p>
    <w:p>
      <w:pPr>
        <w:pStyle w:val="Normal"/>
        <w:ind w:start="360" w:end="0"/>
        <w:jc w:val="both"/>
        <w:rPr/>
      </w:pPr>
      <w:r>
        <w:rPr>
          <w:lang w:val="bg-BG"/>
        </w:rPr>
        <w:t>-</w:t>
        <w:tab/>
        <w:t>Повишаване на обема на услугите;</w:t>
      </w:r>
    </w:p>
    <w:p>
      <w:pPr>
        <w:pStyle w:val="Normal"/>
        <w:ind w:start="360" w:end="0"/>
        <w:jc w:val="both"/>
        <w:rPr/>
      </w:pPr>
      <w:r>
        <w:rPr>
          <w:lang w:val="bg-BG"/>
        </w:rPr>
        <w:t>-</w:t>
        <w:tab/>
        <w:t>Трайно присъствие на пазара;</w:t>
      </w:r>
    </w:p>
    <w:p>
      <w:pPr>
        <w:pStyle w:val="Normal"/>
        <w:ind w:start="360" w:end="0"/>
        <w:jc w:val="both"/>
        <w:rPr/>
      </w:pPr>
      <w:r>
        <w:rPr>
          <w:lang w:val="bg-BG"/>
        </w:rPr>
        <w:t>-</w:t>
        <w:tab/>
        <w:t>Привличане на нови клиенти.</w:t>
      </w:r>
    </w:p>
    <w:p>
      <w:pPr>
        <w:pStyle w:val="Normal"/>
        <w:ind w:start="360" w:end="0"/>
        <w:jc w:val="both"/>
        <w:rPr/>
      </w:pPr>
      <w:r>
        <w:rPr>
          <w:lang w:val="bg-BG"/>
        </w:rPr>
        <w:t xml:space="preserve">Предстои изготвянето на анализ на удовлетвореността на клиента за изминалата година. Дейността се осигурява предимно от търговския директор и организатор търговски отдел, като за тази цел се използват преките контакти. </w:t>
      </w:r>
    </w:p>
    <w:p>
      <w:pPr>
        <w:pStyle w:val="Normal"/>
        <w:ind w:start="360" w:end="0"/>
        <w:jc w:val="both"/>
        <w:rPr>
          <w:lang w:val="bg-BG"/>
        </w:rPr>
      </w:pPr>
      <w:r>
        <w:rPr>
          <w:lang w:val="bg-BG"/>
        </w:rPr>
      </w:r>
    </w:p>
    <w:p>
      <w:pPr>
        <w:pStyle w:val="Normal"/>
        <w:ind w:start="360" w:end="0"/>
        <w:jc w:val="both"/>
        <w:rPr>
          <w:lang w:val="bg-BG"/>
        </w:rPr>
      </w:pPr>
      <w:r>
        <w:rPr>
          <w:lang w:val="bg-BG"/>
        </w:rPr>
        <w:t xml:space="preserve">5.2.Политика по БЗР </w:t>
      </w:r>
    </w:p>
    <w:p>
      <w:pPr>
        <w:pStyle w:val="Normal"/>
        <w:ind w:start="360" w:end="0"/>
        <w:jc w:val="both"/>
        <w:rPr/>
      </w:pPr>
      <w:r>
        <w:rPr>
          <w:lang w:val="bg-BG"/>
        </w:rPr>
        <w:t>В дружеството съществува декларация за политиката на ръководството за СУ. Сътрудниците са запознати с декларацията посредством лични разговори и обучения, информационни табла и обучения. Тя се разбира от тях и се взима под внимание. Декларацията е разпространена и на територията на  фирмата.</w:t>
      </w:r>
    </w:p>
    <w:p>
      <w:pPr>
        <w:pStyle w:val="Normal"/>
        <w:ind w:start="360" w:end="0"/>
        <w:jc w:val="both"/>
        <w:rPr>
          <w:lang w:val="bg-BG"/>
        </w:rPr>
      </w:pPr>
      <w:r>
        <w:rPr>
          <w:lang w:val="bg-BG"/>
        </w:rPr>
      </w:r>
    </w:p>
    <w:p>
      <w:pPr>
        <w:pStyle w:val="Normal"/>
        <w:ind w:start="360" w:end="0"/>
        <w:jc w:val="both"/>
        <w:rPr>
          <w:lang w:val="bg-BG"/>
        </w:rPr>
      </w:pPr>
      <w:r>
        <w:rPr>
          <w:lang w:val="bg-BG"/>
        </w:rPr>
        <w:t>5.3.Роли, отговорности и пълномощия на организацията</w:t>
      </w:r>
    </w:p>
    <w:p>
      <w:pPr>
        <w:pStyle w:val="Normal"/>
        <w:ind w:start="360" w:end="0"/>
        <w:jc w:val="both"/>
        <w:rPr>
          <w:lang w:val="bg-BG"/>
        </w:rPr>
      </w:pPr>
      <w:r>
        <w:rPr>
          <w:lang w:val="bg-BG"/>
        </w:rPr>
      </w:r>
    </w:p>
    <w:p>
      <w:pPr>
        <w:pStyle w:val="Normal"/>
        <w:ind w:start="360" w:end="0"/>
        <w:jc w:val="both"/>
        <w:rPr/>
      </w:pPr>
      <w:r>
        <w:rPr>
          <w:lang w:val="bg-BG"/>
        </w:rPr>
        <w:t xml:space="preserve">Отговорностите са описани в документацията на системата и в длъжностни характеристики за всяка длъжност от организационната структура. Познати са от сътрудниците и се изпълняват. Установена е организационната структура и взаимоотношенията между отделните длъжности. Има назначен ПР за СУ със заповед. ПР за СУ притежава нужната длъжностна характеристика и компетенции за вътрешен одитор. Допълнителни 3 лица са обучени и притежават необходимите компетенции и квалификации за провеждане на вътрешни одити на системи за управление. Изготвена е матрица на отговорностите, с разпределени отговорности на всяко лице от организационната структура. </w:t>
      </w:r>
    </w:p>
    <w:p>
      <w:pPr>
        <w:pStyle w:val="Normal"/>
        <w:ind w:start="360" w:end="0"/>
        <w:jc w:val="both"/>
        <w:rPr>
          <w:lang w:val="bg-BG"/>
        </w:rPr>
      </w:pPr>
      <w:r>
        <w:rPr>
          <w:lang w:val="bg-BG"/>
        </w:rPr>
      </w:r>
    </w:p>
    <w:p>
      <w:pPr>
        <w:pStyle w:val="Normal"/>
        <w:ind w:start="360" w:end="0"/>
        <w:jc w:val="both"/>
        <w:rPr>
          <w:lang w:val="bg-BG"/>
        </w:rPr>
      </w:pPr>
      <w:r>
        <w:rPr>
          <w:lang w:val="bg-BG"/>
        </w:rPr>
        <w:t>6.1.Действия за овладяване на рисковете и възможностите</w:t>
      </w:r>
    </w:p>
    <w:p>
      <w:pPr>
        <w:pStyle w:val="Normal"/>
        <w:ind w:start="360" w:end="0"/>
        <w:jc w:val="both"/>
        <w:rPr>
          <w:lang w:val="bg-BG"/>
        </w:rPr>
      </w:pPr>
      <w:r>
        <w:rPr>
          <w:lang w:val="bg-BG"/>
        </w:rPr>
      </w:r>
    </w:p>
    <w:p>
      <w:pPr>
        <w:pStyle w:val="Normal"/>
        <w:ind w:start="360" w:end="0"/>
        <w:jc w:val="both"/>
        <w:rPr/>
      </w:pPr>
      <w:r>
        <w:rPr>
          <w:lang w:val="bg-BG"/>
        </w:rPr>
        <w:t>За периода от въвеждането на ревизия 02 на СУ до момента са предприети действия по идентификация и оценка на рисковете и възможностите пред дружеството. Представена бе методика за оценка на рисковете/възможностите, по време на одита бе проверен документ „Списък, мерки за управление и последваща оценка на рисковете и възможностите“.</w:t>
      </w:r>
    </w:p>
    <w:p>
      <w:pPr>
        <w:pStyle w:val="Normal"/>
        <w:ind w:start="360" w:end="0"/>
        <w:jc w:val="both"/>
        <w:rPr>
          <w:lang w:val="bg-BG"/>
        </w:rPr>
      </w:pPr>
      <w:r>
        <w:rPr>
          <w:lang w:val="bg-BG"/>
        </w:rPr>
      </w:r>
    </w:p>
    <w:p>
      <w:pPr>
        <w:pStyle w:val="Normal"/>
        <w:ind w:start="360" w:end="0"/>
        <w:jc w:val="both"/>
        <w:rPr>
          <w:lang w:val="bg-BG"/>
        </w:rPr>
      </w:pPr>
      <w:r>
        <w:rPr>
          <w:lang w:val="bg-BG"/>
        </w:rPr>
        <w:t>6.1.1. – 6.1.2. Идентифициране на опасностите, оценка на рисковете</w:t>
      </w:r>
    </w:p>
    <w:p>
      <w:pPr>
        <w:pStyle w:val="Normal"/>
        <w:ind w:start="360" w:end="0"/>
        <w:jc w:val="both"/>
        <w:rPr>
          <w:lang w:val="bg-BG"/>
        </w:rPr>
      </w:pPr>
      <w:r>
        <w:rPr>
          <w:lang w:val="bg-BG"/>
        </w:rPr>
      </w:r>
    </w:p>
    <w:p>
      <w:pPr>
        <w:pStyle w:val="Normal"/>
        <w:ind w:start="360" w:end="0"/>
        <w:jc w:val="both"/>
        <w:rPr/>
      </w:pPr>
      <w:r>
        <w:rPr>
          <w:lang w:val="bg-BG"/>
        </w:rPr>
        <w:t>Всички рисковете за БЗР относно дейността на фирмата, касаещи БЗР са определени, идентифицирани и оценени. Заложени са мерки за намаляване въздействието на значимите аспекти и рискове. Изпълнението е направено по методики, които са подробно описани в разработените за целта процедури. Изпълнението на тази дейност е съобразено изцяло с изискванията на ISO 45001:2023. Налична е пълна проследимост при определянето, управлението, намаляване значимостта и оценката на рисковете по отношение на БЗР.</w:t>
      </w:r>
    </w:p>
    <w:p>
      <w:pPr>
        <w:pStyle w:val="Normal"/>
        <w:ind w:start="360" w:end="0"/>
        <w:jc w:val="both"/>
        <w:rPr>
          <w:lang w:val="bg-BG"/>
        </w:rPr>
      </w:pPr>
      <w:r>
        <w:rPr>
          <w:lang w:val="bg-BG"/>
        </w:rPr>
      </w:r>
    </w:p>
    <w:p>
      <w:pPr>
        <w:pStyle w:val="Normal"/>
        <w:ind w:start="360" w:end="0"/>
        <w:jc w:val="both"/>
        <w:rPr>
          <w:lang w:val="bg-BG"/>
        </w:rPr>
      </w:pPr>
      <w:r>
        <w:rPr>
          <w:lang w:val="bg-BG"/>
        </w:rPr>
        <w:t>6.1.3. Задължения за спазване</w:t>
      </w:r>
    </w:p>
    <w:p>
      <w:pPr>
        <w:pStyle w:val="Normal"/>
        <w:ind w:start="360" w:end="0"/>
        <w:jc w:val="both"/>
        <w:rPr>
          <w:lang w:val="bg-BG"/>
        </w:rPr>
      </w:pPr>
      <w:r>
        <w:rPr>
          <w:lang w:val="bg-BG"/>
        </w:rPr>
      </w:r>
    </w:p>
    <w:p>
      <w:pPr>
        <w:pStyle w:val="Normal"/>
        <w:ind w:start="360" w:end="0"/>
        <w:jc w:val="both"/>
        <w:rPr/>
      </w:pPr>
      <w:r>
        <w:rPr>
          <w:lang w:val="bg-BG"/>
        </w:rPr>
        <w:t>Ръководството на фирмата е определило списък от приложимите законови и доброволно приети изисквания, съгласно т. 4.4.1 от ОП2-02. Обхванати са всички приложими изисквания на стандартите. Проверката се извършва чрез ползване на интернет страници и свободно достъпни информационни сайтове, упоменати в горецитираната процедура. Изискванията на ISO 45001:2023  се изпълняват.</w:t>
      </w:r>
    </w:p>
    <w:p>
      <w:pPr>
        <w:pStyle w:val="Normal"/>
        <w:ind w:start="360" w:end="0"/>
        <w:jc w:val="both"/>
        <w:rPr>
          <w:lang w:val="bg-BG"/>
        </w:rPr>
      </w:pPr>
      <w:r>
        <w:rPr>
          <w:lang w:val="bg-BG"/>
        </w:rPr>
      </w:r>
    </w:p>
    <w:p>
      <w:pPr>
        <w:pStyle w:val="Normal"/>
        <w:ind w:start="360" w:end="0"/>
        <w:jc w:val="both"/>
        <w:rPr>
          <w:lang w:val="bg-BG"/>
        </w:rPr>
      </w:pPr>
      <w:r>
        <w:rPr>
          <w:lang w:val="bg-BG"/>
        </w:rPr>
        <w:t>6.2.Цели по БЗР и планиране на постигането им</w:t>
      </w:r>
    </w:p>
    <w:p>
      <w:pPr>
        <w:pStyle w:val="Normal"/>
        <w:ind w:start="360" w:end="0"/>
        <w:jc w:val="both"/>
        <w:rPr>
          <w:lang w:val="bg-BG"/>
        </w:rPr>
      </w:pPr>
      <w:r>
        <w:rPr>
          <w:lang w:val="bg-BG"/>
        </w:rPr>
      </w:r>
    </w:p>
    <w:p>
      <w:pPr>
        <w:pStyle w:val="Normal"/>
        <w:ind w:start="360" w:end="0"/>
        <w:jc w:val="both"/>
        <w:rPr>
          <w:lang w:val="bg-BG"/>
        </w:rPr>
      </w:pPr>
      <w:r>
        <w:rPr>
          <w:lang w:val="bg-BG"/>
        </w:rPr>
        <w:t>Ръководството представи ясно структурирани и измерими цели по БЗР за настоящата година. Оперативното планиране на дейността се осъществява на база планираните и получените поръчки и заявки от клиенти, както и на база заложените цели. На тази основа се разработва и планирането на дейността на фирмата.</w:t>
      </w:r>
    </w:p>
    <w:p>
      <w:pPr>
        <w:pStyle w:val="Normal"/>
        <w:ind w:start="360" w:end="0"/>
        <w:jc w:val="both"/>
        <w:rPr>
          <w:lang w:val="bg-BG"/>
        </w:rPr>
      </w:pPr>
      <w:r>
        <w:rPr>
          <w:lang w:val="bg-BG"/>
        </w:rPr>
      </w:r>
    </w:p>
    <w:p>
      <w:pPr>
        <w:pStyle w:val="Normal"/>
        <w:ind w:start="360" w:end="0"/>
        <w:jc w:val="both"/>
        <w:rPr>
          <w:lang w:val="bg-BG"/>
        </w:rPr>
      </w:pPr>
      <w:r>
        <w:rPr>
          <w:lang w:val="bg-BG"/>
        </w:rPr>
        <w:t>6.3 Планиране на измененията</w:t>
      </w:r>
    </w:p>
    <w:p>
      <w:pPr>
        <w:pStyle w:val="Normal"/>
        <w:ind w:start="360" w:end="0"/>
        <w:jc w:val="both"/>
        <w:rPr>
          <w:lang w:val="bg-BG"/>
        </w:rPr>
      </w:pPr>
      <w:r>
        <w:rPr>
          <w:lang w:val="bg-BG"/>
        </w:rPr>
      </w:r>
    </w:p>
    <w:p>
      <w:pPr>
        <w:pStyle w:val="Normal"/>
        <w:ind w:start="360" w:end="0"/>
        <w:jc w:val="both"/>
        <w:rPr/>
      </w:pPr>
      <w:r>
        <w:rPr>
          <w:lang w:val="bg-BG"/>
        </w:rPr>
        <w:t>При разработването на версия 02 на документацията на СУ са взети предвид последствията от измененията, като за целта е проведено обсъждане със заинтересованите страни и с ръководството на дружеството. Оценено е как измененията свързани с имплементирането на СУ ще повлияят на наличието на ресурси, целостта на системата, отговорностите и ролите. Предвидените стъпки по време на оценката са изпълнени при изготвянето на актуалната версия и са в сила към момента.</w:t>
      </w:r>
    </w:p>
    <w:p>
      <w:pPr>
        <w:pStyle w:val="Normal"/>
        <w:ind w:start="360" w:end="0"/>
        <w:jc w:val="both"/>
        <w:rPr>
          <w:lang w:val="bg-BG"/>
        </w:rPr>
      </w:pPr>
      <w:r>
        <w:rPr>
          <w:lang w:val="bg-BG"/>
        </w:rPr>
      </w:r>
    </w:p>
    <w:p>
      <w:pPr>
        <w:pStyle w:val="Normal"/>
        <w:ind w:start="360" w:end="0"/>
        <w:jc w:val="both"/>
        <w:rPr>
          <w:lang w:val="bg-BG"/>
        </w:rPr>
      </w:pPr>
      <w:r>
        <w:rPr>
          <w:lang w:val="bg-BG"/>
        </w:rPr>
        <w:t>7.1.1.Ресурси</w:t>
      </w:r>
    </w:p>
    <w:p>
      <w:pPr>
        <w:pStyle w:val="Normal"/>
        <w:ind w:start="360" w:end="0"/>
        <w:jc w:val="both"/>
        <w:rPr>
          <w:lang w:val="bg-BG"/>
        </w:rPr>
      </w:pPr>
      <w:r>
        <w:rPr>
          <w:lang w:val="bg-BG"/>
        </w:rPr>
      </w:r>
    </w:p>
    <w:p>
      <w:pPr>
        <w:pStyle w:val="Normal"/>
        <w:ind w:start="360" w:end="0"/>
        <w:jc w:val="both"/>
        <w:rPr>
          <w:lang w:val="bg-BG"/>
        </w:rPr>
      </w:pPr>
      <w:r>
        <w:rPr>
          <w:lang w:val="bg-BG"/>
        </w:rPr>
        <w:t>Осигуряването на ресурсите се извършва от системата за планиране във фирмата и това се проследява.</w:t>
      </w:r>
    </w:p>
    <w:p>
      <w:pPr>
        <w:pStyle w:val="Normal"/>
        <w:ind w:start="360" w:end="0"/>
        <w:jc w:val="both"/>
        <w:rPr>
          <w:lang w:val="bg-BG"/>
        </w:rPr>
      </w:pPr>
      <w:r>
        <w:rPr>
          <w:lang w:val="bg-BG"/>
        </w:rPr>
      </w:r>
    </w:p>
    <w:p>
      <w:pPr>
        <w:pStyle w:val="Normal"/>
        <w:ind w:start="360" w:end="0"/>
        <w:jc w:val="both"/>
        <w:rPr>
          <w:lang w:val="bg-BG"/>
        </w:rPr>
      </w:pPr>
      <w:r>
        <w:rPr>
          <w:lang w:val="bg-BG"/>
        </w:rPr>
        <w:t>7.1.2.Човешки ресурси</w:t>
      </w:r>
    </w:p>
    <w:p>
      <w:pPr>
        <w:pStyle w:val="Normal"/>
        <w:ind w:start="360" w:end="0"/>
        <w:jc w:val="both"/>
        <w:rPr>
          <w:lang w:val="bg-BG"/>
        </w:rPr>
      </w:pPr>
      <w:r>
        <w:rPr>
          <w:lang w:val="bg-BG"/>
        </w:rPr>
      </w:r>
    </w:p>
    <w:p>
      <w:pPr>
        <w:pStyle w:val="Normal"/>
        <w:ind w:start="360" w:end="0"/>
        <w:jc w:val="both"/>
        <w:rPr/>
      </w:pPr>
      <w:r>
        <w:rPr>
          <w:lang w:val="bg-BG"/>
        </w:rPr>
        <w:t>Всички изисквания и отговорности към персонала са определени от документацията на системата и длъжностните характеристики се познават от заетите лица. Водят се досиета на сътрудниците. Квалификацията и опита на сътрудниците отговарят на изискванията. Подборът на кадри, въвеждането в работа, поддържането и повишаването на квалификацията се планират и се проследяват. Проведени и документирани са обучения за повишаване компетенциите на персонала. Развитието на персонала се планира в качествен и количествен аспект. В процеса на работа много ефективно е организиран подбора, въвеждането в работа, обучението и повишаването на квалификацията на персонала. Контролът и оценката на тази дейност е ежедневен и се проследява по записи, с които са запознати и самите сътрудници. Провеждат се встъпителни и периодични инструктажи по здравословни и безопасни условия на труд, съгласно Закона за ЗБУТ и наредбите към него. Има извършена оценка на риска от служба по трудова медицина. В хода на одита бе проверено досието на заварчика на дружеството.</w:t>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r>
    </w:p>
    <w:p>
      <w:pPr>
        <w:pStyle w:val="Normal"/>
        <w:ind w:start="360" w:end="0"/>
        <w:jc w:val="both"/>
        <w:rPr>
          <w:lang w:val="bg-BG"/>
        </w:rPr>
      </w:pPr>
      <w:r>
        <w:rPr>
          <w:lang w:val="bg-BG"/>
        </w:rPr>
        <w:t>7.1.3.Инфраструктура</w:t>
      </w:r>
    </w:p>
    <w:p>
      <w:pPr>
        <w:pStyle w:val="Normal"/>
        <w:ind w:start="360" w:end="0"/>
        <w:jc w:val="both"/>
        <w:rPr>
          <w:lang w:val="bg-BG"/>
        </w:rPr>
      </w:pPr>
      <w:r>
        <w:rPr>
          <w:lang w:val="bg-BG"/>
        </w:rPr>
      </w:r>
    </w:p>
    <w:p>
      <w:pPr>
        <w:pStyle w:val="Normal"/>
        <w:ind w:start="360" w:end="0"/>
        <w:jc w:val="both"/>
        <w:rPr>
          <w:lang w:val="bg-BG"/>
        </w:rPr>
      </w:pPr>
      <w:r>
        <w:rPr>
          <w:lang w:val="bg-BG"/>
        </w:rPr>
        <w:t xml:space="preserve">Инфраструктурата отговаря на нуждите и спецификата на организацията. Фирмата разполага с достатъчна площ за осъществяване на основната си дейност. Поддръжката на инфраструктурата се планира и осигурява съгласно предписаните инструкции. За извършените проверки и ремонти се водят записи и се поддържат досиета. </w:t>
      </w:r>
    </w:p>
    <w:p>
      <w:pPr>
        <w:pStyle w:val="Normal"/>
        <w:ind w:start="360" w:end="0"/>
        <w:jc w:val="both"/>
        <w:rPr>
          <w:lang w:val="bg-BG"/>
        </w:rPr>
      </w:pPr>
      <w:r>
        <w:rPr>
          <w:lang w:val="bg-BG"/>
        </w:rPr>
      </w:r>
    </w:p>
    <w:p>
      <w:pPr>
        <w:pStyle w:val="Normal"/>
        <w:ind w:start="360" w:end="0"/>
        <w:jc w:val="both"/>
        <w:rPr>
          <w:lang w:val="bg-BG"/>
        </w:rPr>
      </w:pPr>
      <w:r>
        <w:rPr>
          <w:lang w:val="bg-BG"/>
        </w:rPr>
        <w:t>7.1.4. Заобикаляща среда</w:t>
      </w:r>
    </w:p>
    <w:p>
      <w:pPr>
        <w:pStyle w:val="Normal"/>
        <w:ind w:start="360" w:end="0"/>
        <w:jc w:val="both"/>
        <w:rPr>
          <w:lang w:val="bg-BG"/>
        </w:rPr>
      </w:pPr>
      <w:r>
        <w:rPr>
          <w:lang w:val="bg-BG"/>
        </w:rPr>
      </w:r>
    </w:p>
    <w:p>
      <w:pPr>
        <w:pStyle w:val="Normal"/>
        <w:ind w:start="360" w:end="0"/>
        <w:jc w:val="both"/>
        <w:rPr/>
      </w:pPr>
      <w:r>
        <w:rPr>
          <w:lang w:val="bg-BG"/>
        </w:rPr>
        <w:t>Работната среда и условията на труд отговарят изцяло на ЗЗБУТ и ISO 45001:2023. Изпълнени са законовите и нормативни изисквания. Изискванията се доказаха с представените:</w:t>
      </w:r>
    </w:p>
    <w:p>
      <w:pPr>
        <w:pStyle w:val="Normal"/>
        <w:ind w:start="360" w:end="0"/>
        <w:jc w:val="both"/>
        <w:rPr/>
      </w:pPr>
      <w:r>
        <w:rPr>
          <w:lang w:val="bg-BG"/>
        </w:rPr>
        <w:t>-</w:t>
        <w:tab/>
        <w:t>Сключен договор със служба по трудова медицина</w:t>
      </w:r>
    </w:p>
    <w:p>
      <w:pPr>
        <w:pStyle w:val="Normal"/>
        <w:ind w:start="360" w:end="0"/>
        <w:jc w:val="both"/>
        <w:rPr/>
      </w:pPr>
      <w:r>
        <w:rPr>
          <w:lang w:val="bg-BG"/>
        </w:rPr>
        <w:t>-</w:t>
        <w:tab/>
        <w:t>Извършена оценка на риска за всяко работно място</w:t>
      </w:r>
    </w:p>
    <w:p>
      <w:pPr>
        <w:pStyle w:val="Normal"/>
        <w:ind w:start="360" w:end="0"/>
        <w:jc w:val="both"/>
        <w:rPr/>
      </w:pPr>
      <w:r>
        <w:rPr>
          <w:lang w:val="bg-BG"/>
        </w:rPr>
        <w:t>-</w:t>
        <w:tab/>
        <w:t>Осигурени лични предпазни средства</w:t>
      </w:r>
    </w:p>
    <w:p>
      <w:pPr>
        <w:pStyle w:val="Normal"/>
        <w:ind w:start="360" w:end="0"/>
        <w:jc w:val="both"/>
        <w:rPr/>
      </w:pPr>
      <w:r>
        <w:rPr>
          <w:lang w:val="bg-BG"/>
        </w:rPr>
        <w:t>-</w:t>
        <w:tab/>
        <w:t xml:space="preserve">Протоколи от замервания на параметрите на работната среда от външна лаборатория </w:t>
      </w:r>
    </w:p>
    <w:p>
      <w:pPr>
        <w:pStyle w:val="Normal"/>
        <w:ind w:start="360" w:end="0"/>
        <w:jc w:val="both"/>
        <w:rPr/>
      </w:pPr>
      <w:r>
        <w:rPr>
          <w:lang w:val="bg-BG"/>
        </w:rPr>
        <w:t>-</w:t>
        <w:tab/>
        <w:t>Тетрадки от проведени инструктажи на служителите по техника на безопасност.</w:t>
      </w:r>
    </w:p>
    <w:p>
      <w:pPr>
        <w:pStyle w:val="Normal"/>
        <w:ind w:start="360" w:end="0"/>
        <w:jc w:val="both"/>
        <w:rPr>
          <w:lang w:val="bg-BG"/>
        </w:rPr>
      </w:pPr>
      <w:r>
        <w:rPr>
          <w:lang w:val="bg-BG"/>
        </w:rPr>
      </w:r>
    </w:p>
    <w:p>
      <w:pPr>
        <w:pStyle w:val="Normal"/>
        <w:ind w:start="360" w:end="0"/>
        <w:jc w:val="both"/>
        <w:rPr>
          <w:lang w:val="bg-BG"/>
        </w:rPr>
      </w:pPr>
      <w:r>
        <w:rPr>
          <w:lang w:val="bg-BG"/>
        </w:rPr>
        <w:t>7.1.5 Ресурси за наблюдение и измерване</w:t>
      </w:r>
    </w:p>
    <w:p>
      <w:pPr>
        <w:pStyle w:val="Normal"/>
        <w:ind w:start="360" w:end="0"/>
        <w:jc w:val="both"/>
        <w:rPr>
          <w:lang w:val="bg-BG"/>
        </w:rPr>
      </w:pPr>
      <w:r>
        <w:rPr>
          <w:lang w:val="bg-BG"/>
        </w:rPr>
      </w:r>
    </w:p>
    <w:p>
      <w:pPr>
        <w:pStyle w:val="Normal"/>
        <w:ind w:start="360" w:end="0"/>
        <w:jc w:val="both"/>
        <w:rPr>
          <w:lang w:val="bg-BG"/>
        </w:rPr>
      </w:pPr>
      <w:r>
        <w:rPr>
          <w:lang w:val="bg-BG"/>
        </w:rPr>
        <w:t>Средствата за измерване са описани в списък на ТСНИ, като всички нужни за дейността средства за измерване са налични и са в добро състояние. Използваните ТСНИ, които подлежат на метрологичен контрол притежават валидни сертификати за калибриране, издадени от акредитирана лаборатория.</w:t>
      </w:r>
    </w:p>
    <w:p>
      <w:pPr>
        <w:pStyle w:val="Normal"/>
        <w:ind w:start="360" w:end="0"/>
        <w:jc w:val="both"/>
        <w:rPr>
          <w:lang w:val="bg-BG"/>
        </w:rPr>
      </w:pPr>
      <w:r>
        <w:rPr>
          <w:lang w:val="bg-BG"/>
        </w:rPr>
      </w:r>
    </w:p>
    <w:p>
      <w:pPr>
        <w:pStyle w:val="Normal"/>
        <w:ind w:start="360" w:end="0"/>
        <w:jc w:val="both"/>
        <w:rPr>
          <w:lang w:val="bg-BG"/>
        </w:rPr>
      </w:pPr>
      <w:r>
        <w:rPr>
          <w:lang w:val="bg-BG"/>
        </w:rPr>
        <w:t>7.1.6. Знания и опит в организацията</w:t>
      </w:r>
    </w:p>
    <w:p>
      <w:pPr>
        <w:pStyle w:val="Normal"/>
        <w:ind w:start="360" w:end="0"/>
        <w:jc w:val="both"/>
        <w:rPr>
          <w:lang w:val="bg-BG"/>
        </w:rPr>
      </w:pPr>
      <w:r>
        <w:rPr>
          <w:lang w:val="bg-BG"/>
        </w:rPr>
      </w:r>
    </w:p>
    <w:p>
      <w:pPr>
        <w:pStyle w:val="Normal"/>
        <w:ind w:start="360" w:end="0"/>
        <w:jc w:val="both"/>
        <w:rPr>
          <w:lang w:val="bg-BG"/>
        </w:rPr>
      </w:pPr>
      <w:r>
        <w:rPr>
          <w:lang w:val="bg-BG"/>
        </w:rPr>
        <w:t>Знанията и опита придобити от дружеството са специфични за организацията и основно произхождат от предишен опит на организацията и служителите, както и от проучвания на пазара и конкуренцията.</w:t>
      </w:r>
    </w:p>
    <w:p>
      <w:pPr>
        <w:pStyle w:val="Normal"/>
        <w:ind w:start="360" w:end="0"/>
        <w:jc w:val="both"/>
        <w:rPr>
          <w:lang w:val="bg-BG"/>
        </w:rPr>
      </w:pPr>
      <w:r>
        <w:rPr>
          <w:lang w:val="bg-BG"/>
        </w:rPr>
      </w:r>
    </w:p>
    <w:p>
      <w:pPr>
        <w:pStyle w:val="Normal"/>
        <w:ind w:start="360" w:end="0"/>
        <w:jc w:val="both"/>
        <w:rPr>
          <w:lang w:val="bg-BG"/>
        </w:rPr>
      </w:pPr>
      <w:r>
        <w:rPr>
          <w:lang w:val="bg-BG"/>
        </w:rPr>
        <w:t>7.2. Компетентност</w:t>
      </w:r>
    </w:p>
    <w:p>
      <w:pPr>
        <w:pStyle w:val="Normal"/>
        <w:ind w:start="360" w:end="0"/>
        <w:jc w:val="both"/>
        <w:rPr>
          <w:lang w:val="bg-BG"/>
        </w:rPr>
      </w:pPr>
      <w:r>
        <w:rPr>
          <w:lang w:val="bg-BG"/>
        </w:rPr>
      </w:r>
    </w:p>
    <w:p>
      <w:pPr>
        <w:pStyle w:val="Normal"/>
        <w:ind w:start="360" w:end="0"/>
        <w:jc w:val="both"/>
        <w:rPr/>
      </w:pPr>
      <w:r>
        <w:rPr>
          <w:lang w:val="bg-BG"/>
        </w:rPr>
        <w:t>В хода на одита бе проверен график за обученията за 2026 година. Проведените обучения до момента са оценени и са съставени протоколи, доказващи участването на лицата на обученията. Наличен е и анализ на ефективността на обученията.</w:t>
      </w:r>
    </w:p>
    <w:p>
      <w:pPr>
        <w:pStyle w:val="Normal"/>
        <w:ind w:start="360" w:end="0"/>
        <w:jc w:val="both"/>
        <w:rPr>
          <w:lang w:val="bg-BG"/>
        </w:rPr>
      </w:pPr>
      <w:r>
        <w:rPr>
          <w:lang w:val="bg-BG"/>
        </w:rPr>
      </w:r>
    </w:p>
    <w:p>
      <w:pPr>
        <w:pStyle w:val="Normal"/>
        <w:ind w:start="360" w:end="0"/>
        <w:jc w:val="both"/>
        <w:rPr>
          <w:lang w:val="bg-BG"/>
        </w:rPr>
      </w:pPr>
      <w:r>
        <w:rPr>
          <w:lang w:val="bg-BG"/>
        </w:rPr>
        <w:t xml:space="preserve">7.3. Осъзнаване </w:t>
      </w:r>
    </w:p>
    <w:p>
      <w:pPr>
        <w:pStyle w:val="Normal"/>
        <w:ind w:start="360" w:end="0"/>
        <w:jc w:val="both"/>
        <w:rPr>
          <w:lang w:val="bg-BG"/>
        </w:rPr>
      </w:pPr>
      <w:r>
        <w:rPr>
          <w:lang w:val="bg-BG"/>
        </w:rPr>
      </w:r>
    </w:p>
    <w:p>
      <w:pPr>
        <w:pStyle w:val="Normal"/>
        <w:ind w:start="360" w:end="0"/>
        <w:jc w:val="both"/>
        <w:rPr/>
      </w:pPr>
      <w:r>
        <w:rPr>
          <w:lang w:val="bg-BG"/>
        </w:rPr>
        <w:t>При постъпване на всеки нов служител му се провежда начално обучение за СУ, като се представят документите и процесите, които са приложими за неговата длъжност, съгласно матрицата на отговорностите. Обучението се документира като вътрешнофирмено и се съставят всички документи, съгласно процедурата за управление на персонала.</w:t>
      </w:r>
    </w:p>
    <w:p>
      <w:pPr>
        <w:pStyle w:val="Normal"/>
        <w:ind w:start="360" w:end="0"/>
        <w:jc w:val="both"/>
        <w:rPr>
          <w:lang w:val="bg-BG"/>
        </w:rPr>
      </w:pPr>
      <w:r>
        <w:rPr>
          <w:lang w:val="bg-BG"/>
        </w:rPr>
      </w:r>
    </w:p>
    <w:p>
      <w:pPr>
        <w:pStyle w:val="Normal"/>
        <w:ind w:start="360" w:end="0"/>
        <w:jc w:val="both"/>
        <w:rPr>
          <w:lang w:val="bg-BG"/>
        </w:rPr>
      </w:pPr>
      <w:r>
        <w:rPr>
          <w:lang w:val="bg-BG"/>
        </w:rPr>
        <w:t>7.4.Обмен на информация</w:t>
      </w:r>
    </w:p>
    <w:p>
      <w:pPr>
        <w:pStyle w:val="Normal"/>
        <w:ind w:start="360" w:end="0"/>
        <w:jc w:val="both"/>
        <w:rPr>
          <w:lang w:val="bg-BG"/>
        </w:rPr>
      </w:pPr>
      <w:r>
        <w:rPr>
          <w:lang w:val="bg-BG"/>
        </w:rPr>
      </w:r>
    </w:p>
    <w:p>
      <w:pPr>
        <w:pStyle w:val="Normal"/>
        <w:ind w:start="360" w:end="0"/>
        <w:jc w:val="both"/>
        <w:rPr/>
      </w:pPr>
      <w:r>
        <w:rPr>
          <w:lang w:val="bg-BG"/>
        </w:rPr>
        <w:t>Вътрешната комуникация се осъществява ежедневно чрез  оперативки, телефонни разговори, регламентирания документооборот и провежданите обучения. За оперативките на съвета по качеството и работната група по БЗР се съставят протоколи. По отношение консултацията с трети страни, фирмата е идентифицирала като заинтересовани страни всички външни организации, имащи отношение към работата на фирмата. С определените заинтересовани страни се поддържат постоянни контакти за информация, касаеща политиката по БЗР. Разработена е процедура за комуникации и консултации, чийто предписания се изпълняват.</w:t>
      </w:r>
    </w:p>
    <w:p>
      <w:pPr>
        <w:pStyle w:val="Normal"/>
        <w:ind w:start="360" w:end="0"/>
        <w:jc w:val="both"/>
        <w:rPr>
          <w:lang w:val="bg-BG"/>
        </w:rPr>
      </w:pPr>
      <w:r>
        <w:rPr>
          <w:lang w:val="bg-BG"/>
        </w:rPr>
        <w:tab/>
      </w:r>
    </w:p>
    <w:p>
      <w:pPr>
        <w:pStyle w:val="Normal"/>
        <w:ind w:start="360" w:end="0"/>
        <w:jc w:val="both"/>
        <w:rPr>
          <w:lang w:val="bg-BG"/>
        </w:rPr>
      </w:pPr>
      <w:r>
        <w:rPr>
          <w:lang w:val="bg-BG"/>
        </w:rPr>
        <w:t>7.5.Документация</w:t>
      </w:r>
    </w:p>
    <w:p>
      <w:pPr>
        <w:pStyle w:val="Normal"/>
        <w:ind w:start="360" w:end="0"/>
        <w:jc w:val="both"/>
        <w:rPr>
          <w:lang w:val="bg-BG"/>
        </w:rPr>
      </w:pPr>
      <w:r>
        <w:rPr>
          <w:lang w:val="bg-BG"/>
        </w:rPr>
      </w:r>
    </w:p>
    <w:p>
      <w:pPr>
        <w:pStyle w:val="Normal"/>
        <w:ind w:start="360" w:end="0"/>
        <w:jc w:val="both"/>
        <w:rPr>
          <w:lang w:val="bg-BG"/>
        </w:rPr>
      </w:pPr>
      <w:r>
        <w:rPr>
          <w:lang w:val="bg-BG"/>
        </w:rPr>
        <w:t xml:space="preserve">Документацията на системата е подробна и обхваща всички процеси характерни за фирмата, удобна е за използване и отговаря на изискванията на стандарта. Наръчникът е структуриран съгласно структурата на стандарта и за допълнителна помощ е направена таблица за съответствие между изискванията на стандарта и главите от наръчника, в които са отразени въпросните. Представени са задължителните процедури, описващи основните и спомагателните процеси във фирмата. Представени бяха и инструкции, допълващи процесите в тяхната  подробна конкретика. В различните области на дейност одиторите проследиха в достатъчен обем управлението на документите и записите, от които ясно се проследява развитието на процесите. Управлението на документите и записите се извършва съгласно документираните процедури. </w:t>
      </w:r>
    </w:p>
    <w:p>
      <w:pPr>
        <w:pStyle w:val="Normal"/>
        <w:ind w:start="360" w:end="0"/>
        <w:jc w:val="both"/>
        <w:rPr>
          <w:lang w:val="bg-BG"/>
        </w:rPr>
      </w:pPr>
      <w:r>
        <w:rPr>
          <w:lang w:val="bg-BG"/>
        </w:rPr>
      </w:r>
    </w:p>
    <w:p>
      <w:pPr>
        <w:pStyle w:val="Normal"/>
        <w:ind w:start="360" w:end="0"/>
        <w:jc w:val="both"/>
        <w:rPr>
          <w:lang w:val="bg-BG"/>
        </w:rPr>
      </w:pPr>
      <w:r>
        <w:rPr>
          <w:lang w:val="bg-BG"/>
        </w:rPr>
        <w:t>8.1.Оперативно планиране и управление</w:t>
      </w:r>
    </w:p>
    <w:p>
      <w:pPr>
        <w:pStyle w:val="Normal"/>
        <w:ind w:start="360" w:end="0"/>
        <w:jc w:val="both"/>
        <w:rPr>
          <w:lang w:val="bg-BG"/>
        </w:rPr>
      </w:pPr>
      <w:r>
        <w:rPr>
          <w:lang w:val="bg-BG"/>
        </w:rPr>
      </w:r>
    </w:p>
    <w:p>
      <w:pPr>
        <w:pStyle w:val="Normal"/>
        <w:ind w:start="360" w:end="0"/>
        <w:jc w:val="both"/>
        <w:rPr/>
      </w:pPr>
      <w:r>
        <w:rPr>
          <w:lang w:val="bg-BG"/>
        </w:rPr>
        <w:t>Планирането на създаването и реализацията на продуктите и услугите се извършва на базата на получените заявки/поръчки и сключените договори с клиенти.</w:t>
      </w:r>
    </w:p>
    <w:p>
      <w:pPr>
        <w:pStyle w:val="Normal"/>
        <w:ind w:start="360" w:end="0"/>
        <w:jc w:val="both"/>
        <w:rPr>
          <w:lang w:val="bg-BG"/>
        </w:rPr>
      </w:pPr>
      <w:r>
        <w:rPr>
          <w:lang w:val="bg-BG"/>
        </w:rPr>
        <w:t xml:space="preserve">Организираното планиране и реализация  се отчита на ежедневни оперативки. Целият процес е проследим по документи, софтуерни продукти и от специализирани електронни таблици. </w:t>
      </w:r>
    </w:p>
    <w:p>
      <w:pPr>
        <w:pStyle w:val="Normal"/>
        <w:ind w:start="360" w:end="0"/>
        <w:jc w:val="both"/>
        <w:rPr/>
      </w:pPr>
      <w:r>
        <w:rPr>
          <w:lang w:val="bg-BG"/>
        </w:rPr>
        <w:t>Оперативното управление и контрол на дейностите свързани с опазването на БЗР се осъществява, както е регламентирано в ОП4-04 и ОП4-06. По време на работа се спазва планът за действие при аварийни ситуации по отношение на БЗР. Ръководителите на звена осъществяват контрол на изпълнението на нормативните и вътрешнофирмените разпоредби</w:t>
      </w:r>
    </w:p>
    <w:p>
      <w:pPr>
        <w:pStyle w:val="Normal"/>
        <w:ind w:start="360" w:end="0"/>
        <w:jc w:val="both"/>
        <w:rPr>
          <w:lang w:val="bg-BG"/>
        </w:rPr>
      </w:pPr>
      <w:r>
        <w:rPr>
          <w:lang w:val="bg-BG"/>
        </w:rPr>
      </w:r>
    </w:p>
    <w:p>
      <w:pPr>
        <w:pStyle w:val="Normal"/>
        <w:ind w:start="360" w:end="0"/>
        <w:jc w:val="both"/>
        <w:rPr>
          <w:lang w:val="bg-BG"/>
        </w:rPr>
      </w:pPr>
      <w:r>
        <w:rPr>
          <w:lang w:val="bg-BG"/>
        </w:rPr>
        <w:t>8.2.Изисквания за продуктите и услугите / готовност за извънредни ситуации и способност за реагиране</w:t>
      </w:r>
    </w:p>
    <w:p>
      <w:pPr>
        <w:pStyle w:val="Normal"/>
        <w:ind w:start="360" w:end="0"/>
        <w:jc w:val="both"/>
        <w:rPr>
          <w:lang w:val="bg-BG"/>
        </w:rPr>
      </w:pPr>
      <w:r>
        <w:rPr>
          <w:lang w:val="bg-BG"/>
        </w:rPr>
      </w:r>
    </w:p>
    <w:p>
      <w:pPr>
        <w:pStyle w:val="Normal"/>
        <w:ind w:start="360" w:end="0"/>
        <w:jc w:val="both"/>
        <w:rPr/>
      </w:pPr>
      <w:r>
        <w:rPr>
          <w:lang w:val="bg-BG"/>
        </w:rPr>
        <w:t xml:space="preserve">В дружеството е налице добра организация за връзки с клиентите, като тя се прилага при ежедневното изпълнение на дейностите. Служителите във фирмата имат дългогодишен опит в бранша и са запознати с изискванията на клиентите. </w:t>
      </w:r>
    </w:p>
    <w:p>
      <w:pPr>
        <w:pStyle w:val="Normal"/>
        <w:ind w:start="360" w:end="0"/>
        <w:jc w:val="both"/>
        <w:rPr/>
      </w:pPr>
      <w:r>
        <w:rPr>
          <w:lang w:val="bg-BG"/>
        </w:rPr>
        <w:t>Управлението на аварийните ситуации се извършва съгласно плана за действие при аварийни ситуации, плановете за евакуация и дейностите регламентирани в процедура ОП4-05 за действие при аварийни ситуации. Документирано е провеждането на тренировка за действия по време на аварийни ситуации.</w:t>
      </w:r>
    </w:p>
    <w:p>
      <w:pPr>
        <w:pStyle w:val="Normal"/>
        <w:ind w:start="360" w:end="0"/>
        <w:jc w:val="both"/>
        <w:rPr>
          <w:lang w:val="bg-BG"/>
        </w:rPr>
      </w:pPr>
      <w:r>
        <w:rPr>
          <w:lang w:val="bg-BG"/>
        </w:rPr>
      </w:r>
    </w:p>
    <w:p>
      <w:pPr>
        <w:pStyle w:val="Normal"/>
        <w:ind w:start="360" w:end="0"/>
        <w:jc w:val="both"/>
        <w:rPr>
          <w:lang w:val="bg-BG"/>
        </w:rPr>
      </w:pPr>
      <w:r>
        <w:rPr>
          <w:lang w:val="bg-BG"/>
        </w:rPr>
        <w:t>8.3.Проектиране и разработване</w:t>
      </w:r>
    </w:p>
    <w:p>
      <w:pPr>
        <w:pStyle w:val="Normal"/>
        <w:ind w:start="360" w:end="0"/>
        <w:jc w:val="both"/>
        <w:rPr>
          <w:lang w:val="bg-BG"/>
        </w:rPr>
      </w:pPr>
      <w:r>
        <w:rPr>
          <w:lang w:val="bg-BG"/>
        </w:rPr>
      </w:r>
    </w:p>
    <w:p>
      <w:pPr>
        <w:pStyle w:val="Normal"/>
        <w:ind w:start="360" w:end="0"/>
        <w:jc w:val="both"/>
        <w:rPr>
          <w:lang w:val="bg-BG"/>
        </w:rPr>
      </w:pPr>
      <w:r>
        <w:rPr>
          <w:lang w:val="bg-BG"/>
        </w:rPr>
        <w:t>Фирмата не изпълнява дейности по проектиране и разработване и въпросните изисквания не попадат в обхвата на СУ. В ИН1 е налично обосновано изключване.</w:t>
      </w:r>
    </w:p>
    <w:p>
      <w:pPr>
        <w:pStyle w:val="Normal"/>
        <w:ind w:start="360" w:end="0"/>
        <w:jc w:val="both"/>
        <w:rPr>
          <w:lang w:val="bg-BG"/>
        </w:rPr>
      </w:pPr>
      <w:r>
        <w:rPr>
          <w:lang w:val="bg-BG"/>
        </w:rPr>
      </w:r>
    </w:p>
    <w:p>
      <w:pPr>
        <w:pStyle w:val="Normal"/>
        <w:ind w:start="360" w:end="0"/>
        <w:jc w:val="both"/>
        <w:rPr>
          <w:lang w:val="bg-BG"/>
        </w:rPr>
      </w:pPr>
      <w:r>
        <w:rPr>
          <w:lang w:val="bg-BG"/>
        </w:rPr>
        <w:t>8.4.Управление на процеси, продукти и услуги от външни доставчици</w:t>
      </w:r>
    </w:p>
    <w:p>
      <w:pPr>
        <w:pStyle w:val="Normal"/>
        <w:ind w:start="360" w:end="0"/>
        <w:jc w:val="both"/>
        <w:rPr>
          <w:lang w:val="bg-BG"/>
        </w:rPr>
      </w:pPr>
      <w:r>
        <w:rPr>
          <w:lang w:val="bg-BG"/>
        </w:rPr>
      </w:r>
    </w:p>
    <w:p>
      <w:pPr>
        <w:pStyle w:val="Normal"/>
        <w:ind w:start="360" w:end="0"/>
        <w:jc w:val="both"/>
        <w:rPr/>
      </w:pPr>
      <w:r>
        <w:rPr>
          <w:lang w:val="bg-BG"/>
        </w:rPr>
        <w:t xml:space="preserve">Налична е методика и документиран начин за оценка на доставчиците в Наръчника на фирмата. Попълнен е формулярът за оценка на доставчици. Оценката е актуализирана. За отчитане на всяка доставка се използват разработените документи от СУ и функциониращите </w:t>
      </w:r>
      <w:r>
        <w:rPr/>
        <w:t xml:space="preserve">CRM </w:t>
      </w:r>
      <w:r>
        <w:rPr>
          <w:lang w:val="bg-BG"/>
        </w:rPr>
        <w:t xml:space="preserve">и </w:t>
      </w:r>
      <w:r>
        <w:rPr/>
        <w:t xml:space="preserve">ERP </w:t>
      </w:r>
      <w:r>
        <w:rPr>
          <w:lang w:val="bg-BG"/>
        </w:rPr>
        <w:t>системи, които спомагат за подобрението на проследимостта при извършване на доставките.</w:t>
      </w:r>
    </w:p>
    <w:p>
      <w:pPr>
        <w:pStyle w:val="Normal"/>
        <w:ind w:start="360" w:end="0"/>
        <w:jc w:val="both"/>
        <w:rPr>
          <w:lang w:val="bg-BG"/>
        </w:rPr>
      </w:pPr>
      <w:r>
        <w:rPr>
          <w:lang w:val="bg-BG"/>
        </w:rPr>
      </w:r>
    </w:p>
    <w:p>
      <w:pPr>
        <w:pStyle w:val="Normal"/>
        <w:ind w:start="360" w:end="0"/>
        <w:jc w:val="both"/>
        <w:rPr>
          <w:lang w:val="bg-BG"/>
        </w:rPr>
      </w:pPr>
      <w:r>
        <w:rPr>
          <w:lang w:val="bg-BG"/>
        </w:rPr>
        <w:t>8.5.Предоставяне на услуги</w:t>
      </w:r>
    </w:p>
    <w:p>
      <w:pPr>
        <w:pStyle w:val="Normal"/>
        <w:ind w:start="360" w:end="0"/>
        <w:jc w:val="both"/>
        <w:rPr>
          <w:lang w:val="bg-BG"/>
        </w:rPr>
      </w:pPr>
      <w:r>
        <w:rPr>
          <w:lang w:val="bg-BG"/>
        </w:rPr>
      </w:r>
    </w:p>
    <w:p>
      <w:pPr>
        <w:pStyle w:val="Normal"/>
        <w:ind w:start="360" w:end="0"/>
        <w:jc w:val="both"/>
        <w:rPr>
          <w:lang w:val="bg-BG"/>
        </w:rPr>
      </w:pPr>
      <w:r>
        <w:rPr>
          <w:lang w:val="bg-BG"/>
        </w:rPr>
        <w:t>Планирането, изпълнението, контролът и крайното реализиране на процеса се доказват документално чрез разработените документи и спомагателните софтуерни продукти.</w:t>
      </w:r>
    </w:p>
    <w:p>
      <w:pPr>
        <w:pStyle w:val="Normal"/>
        <w:ind w:start="360" w:end="0"/>
        <w:jc w:val="both"/>
        <w:rPr>
          <w:lang w:val="bg-BG"/>
        </w:rPr>
      </w:pPr>
      <w:r>
        <w:rPr>
          <w:lang w:val="bg-BG"/>
        </w:rPr>
        <w:t>Обратната проследимост на целия процес е осигурена чрез регламентирания документооборот в интегрираната система за управление и документите изисквани от нея.</w:t>
      </w:r>
    </w:p>
    <w:p>
      <w:pPr>
        <w:pStyle w:val="Normal"/>
        <w:ind w:start="360" w:end="0"/>
        <w:jc w:val="both"/>
        <w:rPr>
          <w:lang w:val="bg-BG"/>
        </w:rPr>
      </w:pPr>
      <w:r>
        <w:rPr>
          <w:lang w:val="bg-BG"/>
        </w:rPr>
        <w:t>За всяка основна дейност на фирмата е разработена отделна процедура, както са на лице и спомагателни работни инструкции. Дейностите са разграничени и в организационната структура и се ръководят от отделни лица.</w:t>
      </w:r>
    </w:p>
    <w:p>
      <w:pPr>
        <w:pStyle w:val="Normal"/>
        <w:ind w:start="360" w:end="0"/>
        <w:jc w:val="both"/>
        <w:rPr>
          <w:lang w:val="bg-BG"/>
        </w:rPr>
      </w:pPr>
      <w:r>
        <w:rPr>
          <w:lang w:val="bg-BG"/>
        </w:rPr>
      </w:r>
    </w:p>
    <w:p>
      <w:pPr>
        <w:pStyle w:val="Normal"/>
        <w:ind w:start="360" w:end="0"/>
        <w:jc w:val="both"/>
        <w:rPr>
          <w:lang w:val="bg-BG"/>
        </w:rPr>
      </w:pPr>
      <w:r>
        <w:rPr>
          <w:lang w:val="bg-BG"/>
        </w:rPr>
        <w:t>8.6. Пускане на продукти и услуги</w:t>
      </w:r>
    </w:p>
    <w:p>
      <w:pPr>
        <w:pStyle w:val="Normal"/>
        <w:ind w:start="360" w:end="0"/>
        <w:jc w:val="both"/>
        <w:rPr>
          <w:lang w:val="bg-BG"/>
        </w:rPr>
      </w:pPr>
      <w:r>
        <w:rPr>
          <w:lang w:val="bg-BG"/>
        </w:rPr>
      </w:r>
    </w:p>
    <w:p>
      <w:pPr>
        <w:pStyle w:val="Normal"/>
        <w:ind w:start="360" w:end="0"/>
        <w:jc w:val="both"/>
        <w:rPr/>
      </w:pPr>
      <w:r>
        <w:rPr>
          <w:lang w:val="bg-BG"/>
        </w:rPr>
        <w:t>Преди окончателното предаване на продукта на клиента се извършва контрол на качеството и количеството на заявената и експедирана стока. Сравнява се актуалното състояние на стоката със състоянието ѝ при приемане. При каквито и да е разлики се завежда протокол за несъответствие. Към момента на провеждане на одита не са регистрирани съществени рекламации от клиенти.</w:t>
      </w:r>
    </w:p>
    <w:p>
      <w:pPr>
        <w:pStyle w:val="Normal"/>
        <w:ind w:start="360" w:end="0"/>
        <w:jc w:val="both"/>
        <w:rPr>
          <w:lang w:val="bg-BG"/>
        </w:rPr>
      </w:pPr>
      <w:r>
        <w:rPr>
          <w:lang w:val="bg-BG"/>
        </w:rPr>
      </w:r>
    </w:p>
    <w:p>
      <w:pPr>
        <w:pStyle w:val="Normal"/>
        <w:ind w:start="360" w:end="0"/>
        <w:jc w:val="both"/>
        <w:rPr>
          <w:lang w:val="bg-BG"/>
        </w:rPr>
      </w:pPr>
      <w:r>
        <w:rPr>
          <w:lang w:val="bg-BG"/>
        </w:rPr>
        <w:t>8.7.Управление на несъответстващи изходни елементи</w:t>
      </w:r>
    </w:p>
    <w:p>
      <w:pPr>
        <w:pStyle w:val="Normal"/>
        <w:ind w:start="360" w:end="0"/>
        <w:jc w:val="both"/>
        <w:rPr>
          <w:lang w:val="bg-BG"/>
        </w:rPr>
      </w:pPr>
      <w:r>
        <w:rPr>
          <w:lang w:val="bg-BG"/>
        </w:rPr>
      </w:r>
    </w:p>
    <w:p>
      <w:pPr>
        <w:pStyle w:val="Normal"/>
        <w:ind w:start="360" w:end="0"/>
        <w:jc w:val="both"/>
        <w:rPr/>
      </w:pPr>
      <w:r>
        <w:rPr>
          <w:lang w:val="bg-BG"/>
        </w:rPr>
        <w:t xml:space="preserve">Налице е разработена процедура за управление на несъответстващ продукт, в която са маркирани основните моменти по регистриране и вземане на решение за отстраняване на несъответствието. Разработен е и протокол за несъответствие, който е внедрен в </w:t>
      </w:r>
      <w:r>
        <w:rPr/>
        <w:t xml:space="preserve">CRM </w:t>
      </w:r>
      <w:r>
        <w:rPr>
          <w:lang w:val="bg-BG"/>
        </w:rPr>
        <w:t>системата и се използва активно. За изминалия период са попълнени протоколи за несъответствия, касаещи незначителни отклонения, оказващи минимални влияния върху работните процеси. Всички несъответствия са своевременно отстранени, съгласно процедурата.</w:t>
      </w:r>
    </w:p>
    <w:p>
      <w:pPr>
        <w:pStyle w:val="Normal"/>
        <w:ind w:start="360" w:end="0"/>
        <w:jc w:val="both"/>
        <w:rPr>
          <w:lang w:val="bg-BG"/>
        </w:rPr>
      </w:pPr>
      <w:r>
        <w:rPr>
          <w:lang w:val="bg-BG"/>
        </w:rPr>
      </w:r>
    </w:p>
    <w:p>
      <w:pPr>
        <w:pStyle w:val="Normal"/>
        <w:ind w:start="360" w:end="0"/>
        <w:jc w:val="both"/>
        <w:rPr>
          <w:lang w:val="bg-BG"/>
        </w:rPr>
      </w:pPr>
      <w:r>
        <w:rPr>
          <w:lang w:val="bg-BG"/>
        </w:rPr>
        <w:t>9.1.1.Общи положения</w:t>
      </w:r>
    </w:p>
    <w:p>
      <w:pPr>
        <w:pStyle w:val="Normal"/>
        <w:ind w:start="360" w:end="0"/>
        <w:jc w:val="both"/>
        <w:rPr>
          <w:lang w:val="bg-BG"/>
        </w:rPr>
      </w:pPr>
      <w:r>
        <w:rPr>
          <w:lang w:val="bg-BG"/>
        </w:rPr>
      </w:r>
    </w:p>
    <w:p>
      <w:pPr>
        <w:pStyle w:val="Normal"/>
        <w:ind w:start="360" w:end="0"/>
        <w:jc w:val="both"/>
        <w:rPr>
          <w:lang w:val="bg-BG"/>
        </w:rPr>
      </w:pPr>
      <w:r>
        <w:rPr>
          <w:lang w:val="bg-BG"/>
        </w:rPr>
        <w:t>Плануваните и използвани методи за събиране и анализ на данните се оценяват като добри.</w:t>
      </w:r>
    </w:p>
    <w:p>
      <w:pPr>
        <w:pStyle w:val="Normal"/>
        <w:ind w:start="360" w:end="0"/>
        <w:jc w:val="both"/>
        <w:rPr>
          <w:lang w:val="bg-BG"/>
        </w:rPr>
      </w:pPr>
      <w:r>
        <w:rPr>
          <w:lang w:val="bg-BG"/>
        </w:rPr>
        <w:t>Изготвят се анализи на данните от:</w:t>
      </w:r>
    </w:p>
    <w:p>
      <w:pPr>
        <w:pStyle w:val="Normal"/>
        <w:ind w:start="360" w:end="0"/>
        <w:jc w:val="both"/>
        <w:rPr/>
      </w:pPr>
      <w:r>
        <w:rPr>
          <w:lang w:val="bg-BG"/>
        </w:rPr>
        <w:t>-</w:t>
        <w:tab/>
        <w:t>Обучение на персонала;</w:t>
      </w:r>
    </w:p>
    <w:p>
      <w:pPr>
        <w:pStyle w:val="Normal"/>
        <w:ind w:start="360" w:end="0"/>
        <w:jc w:val="both"/>
        <w:rPr/>
      </w:pPr>
      <w:r>
        <w:rPr>
          <w:lang w:val="bg-BG"/>
        </w:rPr>
        <w:t>-</w:t>
        <w:tab/>
        <w:t>Задоволство на клиенти;</w:t>
      </w:r>
    </w:p>
    <w:p>
      <w:pPr>
        <w:pStyle w:val="Normal"/>
        <w:ind w:start="360" w:end="0"/>
        <w:jc w:val="both"/>
        <w:rPr/>
      </w:pPr>
      <w:r>
        <w:rPr>
          <w:lang w:val="bg-BG"/>
        </w:rPr>
        <w:t>-</w:t>
        <w:tab/>
        <w:t>Рекламации;</w:t>
      </w:r>
    </w:p>
    <w:p>
      <w:pPr>
        <w:pStyle w:val="Normal"/>
        <w:ind w:start="360" w:end="0"/>
        <w:jc w:val="both"/>
        <w:rPr/>
      </w:pPr>
      <w:r>
        <w:rPr>
          <w:lang w:val="bg-BG"/>
        </w:rPr>
        <w:t>-</w:t>
        <w:tab/>
        <w:t>Установени несъответствия;</w:t>
      </w:r>
    </w:p>
    <w:p>
      <w:pPr>
        <w:pStyle w:val="Normal"/>
        <w:ind w:start="360" w:end="0"/>
        <w:jc w:val="both"/>
        <w:rPr/>
      </w:pPr>
      <w:r>
        <w:rPr>
          <w:lang w:val="bg-BG"/>
        </w:rPr>
        <w:t>-</w:t>
        <w:tab/>
        <w:t>Изпълнение на целите;</w:t>
      </w:r>
    </w:p>
    <w:p>
      <w:pPr>
        <w:pStyle w:val="Normal"/>
        <w:ind w:start="360" w:end="0"/>
        <w:jc w:val="both"/>
        <w:rPr/>
      </w:pPr>
      <w:r>
        <w:rPr>
          <w:lang w:val="bg-BG"/>
        </w:rPr>
        <w:t>-</w:t>
        <w:tab/>
        <w:t xml:space="preserve">Анализ на комуникациите със сътрудниците на фирмата. </w:t>
      </w:r>
    </w:p>
    <w:p>
      <w:pPr>
        <w:pStyle w:val="Normal"/>
        <w:ind w:start="360" w:end="0"/>
        <w:jc w:val="both"/>
        <w:rPr>
          <w:lang w:val="bg-BG"/>
        </w:rPr>
      </w:pPr>
      <w:r>
        <w:rPr>
          <w:lang w:val="bg-BG"/>
        </w:rPr>
      </w:r>
    </w:p>
    <w:p>
      <w:pPr>
        <w:pStyle w:val="Normal"/>
        <w:ind w:start="360" w:end="0"/>
        <w:jc w:val="both"/>
        <w:rPr>
          <w:lang w:val="bg-BG"/>
        </w:rPr>
      </w:pPr>
      <w:r>
        <w:rPr>
          <w:lang w:val="bg-BG"/>
        </w:rPr>
        <w:t>9.1.2.Удовлетвореност на клиента / Оценяване на съответствието</w:t>
      </w:r>
    </w:p>
    <w:p>
      <w:pPr>
        <w:pStyle w:val="Normal"/>
        <w:ind w:start="360" w:end="0"/>
        <w:jc w:val="both"/>
        <w:rPr>
          <w:lang w:val="bg-BG"/>
        </w:rPr>
      </w:pPr>
      <w:r>
        <w:rPr>
          <w:lang w:val="bg-BG"/>
        </w:rPr>
      </w:r>
    </w:p>
    <w:p>
      <w:pPr>
        <w:pStyle w:val="Normal"/>
        <w:ind w:start="360" w:end="0"/>
        <w:jc w:val="both"/>
        <w:rPr/>
      </w:pPr>
      <w:r>
        <w:rPr>
          <w:lang w:val="bg-BG"/>
        </w:rPr>
        <w:t xml:space="preserve">Чрез управителя, търговския директор и отговорника на търговския отдел се поддържат постоянни контакти с клиентите на фирмата. Следи се и се оценява тяхната удовлетвореност, за което е предоставен съответния анализ на прегледа на ръководството. </w:t>
      </w:r>
    </w:p>
    <w:p>
      <w:pPr>
        <w:pStyle w:val="Normal"/>
        <w:ind w:start="360" w:end="0"/>
        <w:jc w:val="both"/>
        <w:rPr>
          <w:lang w:val="bg-BG"/>
        </w:rPr>
      </w:pPr>
      <w:r>
        <w:rPr>
          <w:lang w:val="bg-BG"/>
        </w:rPr>
        <w:t>Наблюдаването и измерването на процесите и продуктите се извършва на база документираните процедури и техническите регламенти, което се проследява документално.</w:t>
      </w:r>
    </w:p>
    <w:p>
      <w:pPr>
        <w:pStyle w:val="Normal"/>
        <w:ind w:start="360" w:end="0"/>
        <w:jc w:val="both"/>
        <w:rPr>
          <w:lang w:val="bg-BG"/>
        </w:rPr>
      </w:pPr>
      <w:r>
        <w:rPr>
          <w:lang w:val="bg-BG"/>
        </w:rPr>
        <w:t>Използват се необходимите статистически методи.</w:t>
      </w:r>
    </w:p>
    <w:p>
      <w:pPr>
        <w:pStyle w:val="Normal"/>
        <w:ind w:start="360" w:end="0"/>
        <w:jc w:val="both"/>
        <w:rPr/>
      </w:pPr>
      <w:r>
        <w:rPr>
          <w:lang w:val="bg-BG"/>
        </w:rPr>
        <w:t>Създадена е и се прилага процедура за оценка на съответствието, като оценката на съответствието с вътрешно-фирмените заповеди и инструкции, законовите и нормативни изисквания, както и изискванията на възложители е поместена във Ф5-06. До момента на провеждане на вътрешния одит не са установени несъответствия между заложените изисквания и тяхното изпълнение. Спазват се изискванията на стандарта.</w:t>
      </w:r>
    </w:p>
    <w:p>
      <w:pPr>
        <w:pStyle w:val="Normal"/>
        <w:ind w:start="360" w:end="0"/>
        <w:jc w:val="both"/>
        <w:rPr>
          <w:lang w:val="bg-BG"/>
        </w:rPr>
      </w:pPr>
      <w:r>
        <w:rPr>
          <w:lang w:val="bg-BG"/>
        </w:rPr>
      </w:r>
    </w:p>
    <w:p>
      <w:pPr>
        <w:pStyle w:val="Normal"/>
        <w:ind w:start="360" w:end="0"/>
        <w:jc w:val="both"/>
        <w:rPr>
          <w:lang w:val="bg-BG"/>
        </w:rPr>
      </w:pPr>
      <w:r>
        <w:rPr>
          <w:lang w:val="bg-BG"/>
        </w:rPr>
        <w:t>9.1.3.Анализ и оценяване</w:t>
      </w:r>
    </w:p>
    <w:p>
      <w:pPr>
        <w:pStyle w:val="Normal"/>
        <w:ind w:start="360" w:end="0"/>
        <w:jc w:val="both"/>
        <w:rPr>
          <w:lang w:val="bg-BG"/>
        </w:rPr>
      </w:pPr>
      <w:r>
        <w:rPr>
          <w:lang w:val="bg-BG"/>
        </w:rPr>
      </w:r>
    </w:p>
    <w:p>
      <w:pPr>
        <w:pStyle w:val="Normal"/>
        <w:ind w:start="360" w:end="0"/>
        <w:jc w:val="both"/>
        <w:rPr/>
      </w:pPr>
      <w:r>
        <w:rPr>
          <w:lang w:val="bg-BG"/>
        </w:rPr>
        <w:t>Регламентираните процедури и документооборот, както и използваните електронни таблици и софтуерни продукти осигуряват събирането и архивирането на изчерпателни бази данни за всеки процес във фирмата. Ръководството непрекъснато следи, обобщава и анализира тези данни, както в оперативен порядък, така и дългосрочен аспект (годишни отчети и преглед на ръководството). Обобщен анализ на данните за изминалата 2020 година следва да се представи в началото на 2026 г.</w:t>
      </w:r>
    </w:p>
    <w:p>
      <w:pPr>
        <w:pStyle w:val="Normal"/>
        <w:ind w:start="360" w:end="0"/>
        <w:jc w:val="both"/>
        <w:rPr/>
      </w:pPr>
      <w:r>
        <w:rPr>
          <w:lang w:val="bg-BG"/>
        </w:rPr>
        <w:t>От гледна точка на БЗР бяха представени доказателства за извършения мониторинг на идентифицираните аспекти и рискове, на база на резултатите от проведените обучения, разработените документи и инструкции. Изискванията регламентирани в разработените процедури от СУ се изпълняват.</w:t>
      </w:r>
    </w:p>
    <w:p>
      <w:pPr>
        <w:pStyle w:val="Normal"/>
        <w:ind w:start="360" w:end="0"/>
        <w:jc w:val="both"/>
        <w:rPr>
          <w:lang w:val="bg-BG"/>
        </w:rPr>
      </w:pPr>
      <w:r>
        <w:rPr>
          <w:lang w:val="bg-BG"/>
        </w:rPr>
      </w:r>
    </w:p>
    <w:p>
      <w:pPr>
        <w:pStyle w:val="Normal"/>
        <w:ind w:start="360" w:end="0"/>
        <w:jc w:val="both"/>
        <w:rPr>
          <w:lang w:val="bg-BG"/>
        </w:rPr>
      </w:pPr>
      <w:r>
        <w:rPr>
          <w:lang w:val="bg-BG"/>
        </w:rPr>
        <w:t>9.2.Вътрешни одити</w:t>
      </w:r>
    </w:p>
    <w:p>
      <w:pPr>
        <w:pStyle w:val="Normal"/>
        <w:ind w:start="360" w:end="0"/>
        <w:jc w:val="both"/>
        <w:rPr>
          <w:lang w:val="bg-BG"/>
        </w:rPr>
      </w:pPr>
      <w:r>
        <w:rPr>
          <w:lang w:val="bg-BG"/>
        </w:rPr>
      </w:r>
    </w:p>
    <w:p>
      <w:pPr>
        <w:pStyle w:val="Normal"/>
        <w:ind w:start="360" w:end="0"/>
        <w:jc w:val="both"/>
        <w:rPr/>
      </w:pPr>
      <w:r>
        <w:rPr>
          <w:lang w:val="bg-BG"/>
        </w:rPr>
        <w:t>Настоящият вътрешен одит се води съгласно изискванията на разработената процедура ОП5-01. Изготвен е график за одит от 23.02.2026 г., заповед от 23.02.2026 г. и план от 23.02.2026 г. Вътрешните одитори притежават необходимите компетенции за провеждане на одита са членове на съвета и работната група по БЗР.</w:t>
      </w:r>
    </w:p>
    <w:p>
      <w:pPr>
        <w:pStyle w:val="Normal"/>
        <w:ind w:start="360" w:end="0"/>
        <w:jc w:val="both"/>
        <w:rPr>
          <w:lang w:val="bg-BG"/>
        </w:rPr>
      </w:pPr>
      <w:r>
        <w:rPr>
          <w:lang w:val="bg-BG"/>
        </w:rPr>
      </w:r>
    </w:p>
    <w:p>
      <w:pPr>
        <w:pStyle w:val="Normal"/>
        <w:ind w:start="360" w:end="0"/>
        <w:jc w:val="both"/>
        <w:rPr>
          <w:lang w:val="bg-BG"/>
        </w:rPr>
      </w:pPr>
      <w:r>
        <w:rPr>
          <w:lang w:val="bg-BG"/>
        </w:rPr>
        <w:t>9.3.Преглед на ръководството</w:t>
      </w:r>
    </w:p>
    <w:p>
      <w:pPr>
        <w:pStyle w:val="Normal"/>
        <w:ind w:start="360" w:end="0"/>
        <w:jc w:val="both"/>
        <w:rPr>
          <w:lang w:val="bg-BG"/>
        </w:rPr>
      </w:pPr>
      <w:r>
        <w:rPr>
          <w:lang w:val="bg-BG"/>
        </w:rPr>
      </w:r>
    </w:p>
    <w:p>
      <w:pPr>
        <w:pStyle w:val="Normal"/>
        <w:ind w:start="360" w:end="0"/>
        <w:jc w:val="both"/>
        <w:rPr/>
      </w:pPr>
      <w:r>
        <w:rPr>
          <w:lang w:val="bg-BG"/>
        </w:rPr>
        <w:t xml:space="preserve">Взети са предвид изискванията за оценка на действията за овладяване на риска при входящите елементи при провеждане на прегледа от ръководството. Задълженията на ръководството при провеждане на прегледа са дефинирани в наръчника. Предстои да бъде пусната заповед за провеждането му, след което се очаква ръководството да състави доклад от прегледа до средата на месец януари. </w:t>
      </w:r>
    </w:p>
    <w:p>
      <w:pPr>
        <w:pStyle w:val="Normal"/>
        <w:ind w:start="360" w:end="0"/>
        <w:jc w:val="both"/>
        <w:rPr>
          <w:lang w:val="bg-BG"/>
        </w:rPr>
      </w:pPr>
      <w:r>
        <w:rPr>
          <w:lang w:val="bg-BG"/>
        </w:rPr>
      </w:r>
    </w:p>
    <w:p>
      <w:pPr>
        <w:pStyle w:val="Normal"/>
        <w:ind w:start="360" w:end="0"/>
        <w:jc w:val="both"/>
        <w:rPr>
          <w:lang w:val="bg-BG"/>
        </w:rPr>
      </w:pPr>
      <w:r>
        <w:rPr>
          <w:lang w:val="bg-BG"/>
        </w:rPr>
        <w:t>10.Подобряване</w:t>
      </w:r>
    </w:p>
    <w:p>
      <w:pPr>
        <w:pStyle w:val="Normal"/>
        <w:ind w:start="360" w:end="0"/>
        <w:jc w:val="both"/>
        <w:rPr>
          <w:lang w:val="bg-BG"/>
        </w:rPr>
      </w:pPr>
      <w:r>
        <w:rPr>
          <w:lang w:val="bg-BG"/>
        </w:rPr>
      </w:r>
    </w:p>
    <w:p>
      <w:pPr>
        <w:pStyle w:val="Normal"/>
        <w:ind w:start="360" w:end="0"/>
        <w:jc w:val="both"/>
        <w:rPr>
          <w:lang w:val="bg-BG"/>
        </w:rPr>
      </w:pPr>
      <w:r>
        <w:rPr>
          <w:lang w:val="bg-BG"/>
        </w:rPr>
        <w:t>Процесът на непрекъснато подобряване е залегнал в политиката и целите на ръководството на фирмата. Той бе демонстриран и чрез планирането и развитието на дейността на дружеството. Коригиращите мерки се използват като инструмент за подобрение и се доказаха чрез  прегледа на ръководството, записи и анализи по повод действия на различни аспекти на фирмената дейност. Изискванията на стандартите се изпълняват. За установените несъответствия са предприети нужните коригиращи мерки и ефективността им е оценена.</w:t>
      </w:r>
    </w:p>
    <w:p>
      <w:pPr>
        <w:pStyle w:val="Normal"/>
        <w:ind w:start="360" w:end="0"/>
        <w:jc w:val="both"/>
        <w:rPr>
          <w:lang w:val="bg-BG"/>
        </w:rPr>
      </w:pPr>
      <w:r>
        <w:rPr>
          <w:lang w:val="bg-BG"/>
        </w:rPr>
      </w:r>
    </w:p>
    <w:p>
      <w:pPr>
        <w:pStyle w:val="Normal"/>
        <w:ind w:start="360" w:end="0"/>
        <w:jc w:val="both"/>
        <w:rPr>
          <w:b/>
          <w:u w:val="single"/>
          <w:lang w:val="bg-BG"/>
        </w:rPr>
      </w:pPr>
      <w:r>
        <w:rPr>
          <w:b/>
          <w:u w:val="single"/>
          <w:lang w:val="bg-BG"/>
        </w:rPr>
        <w:t>Заключение и предложения:</w:t>
      </w:r>
    </w:p>
    <w:p>
      <w:pPr>
        <w:pStyle w:val="Normal"/>
        <w:ind w:start="360" w:end="0"/>
        <w:jc w:val="both"/>
        <w:rPr>
          <w:b/>
          <w:u w:val="single"/>
          <w:lang w:val="bg-BG"/>
        </w:rPr>
      </w:pPr>
      <w:r>
        <w:rPr>
          <w:b/>
          <w:u w:val="single"/>
          <w:lang w:val="bg-BG"/>
        </w:rPr>
      </w:r>
    </w:p>
    <w:p>
      <w:pPr>
        <w:pStyle w:val="Normal"/>
        <w:ind w:start="284" w:end="0"/>
        <w:jc w:val="both"/>
        <w:rPr>
          <w:lang w:val="bg-BG"/>
        </w:rPr>
      </w:pPr>
      <w:r>
        <w:rPr>
          <w:lang w:val="bg-BG"/>
        </w:rPr>
        <w:t>На основание на горецитираните факти, считаме че след вземане на предвид на констатираните препоръки (вж. Приложение 1), във фирмата функционира интегрирана система за управление, изцяло съответстваща на изискванията на стандартите ISO 45001:2023 и ще може да се пристъпи към провеждане на външен одит от сертифицираща организация.</w:t>
      </w:r>
    </w:p>
    <w:p>
      <w:pPr>
        <w:pStyle w:val="Normal"/>
        <w:ind w:start="284" w:end="0"/>
        <w:jc w:val="both"/>
        <w:rPr>
          <w:lang w:val="bg-BG"/>
        </w:rPr>
      </w:pPr>
      <w:r>
        <w:rPr>
          <w:lang w:val="bg-BG"/>
        </w:rPr>
      </w:r>
    </w:p>
    <w:p>
      <w:pPr>
        <w:pStyle w:val="Normal"/>
        <w:ind w:start="284" w:end="0"/>
        <w:jc w:val="both"/>
        <w:rPr>
          <w:lang w:val="bg-BG"/>
        </w:rPr>
      </w:pPr>
      <w:r>
        <w:rPr>
          <w:lang w:val="bg-BG"/>
        </w:rPr>
      </w:r>
    </w:p>
    <w:p>
      <w:pPr>
        <w:pStyle w:val="Normal"/>
        <w:ind w:start="284" w:end="0"/>
        <w:jc w:val="both"/>
        <w:rPr>
          <w:lang w:val="bg-BG"/>
        </w:rPr>
      </w:pPr>
      <w:r>
        <w:rPr>
          <w:lang w:val="bg-BG"/>
        </w:rPr>
        <w:t>Водещ одитор: .....................</w:t>
      </w:r>
    </w:p>
    <w:p>
      <w:pPr>
        <w:pStyle w:val="Normal"/>
        <w:ind w:start="284" w:end="0"/>
        <w:jc w:val="both"/>
        <w:rPr>
          <w:lang w:val="bg-BG"/>
        </w:rPr>
      </w:pPr>
      <w:r>
        <w:rPr>
          <w:lang w:val="bg-BG"/>
        </w:rPr>
        <w:tab/>
      </w:r>
    </w:p>
    <w:p>
      <w:pPr>
        <w:pStyle w:val="Normal"/>
        <w:jc w:val="both"/>
        <w:rPr>
          <w:lang w:val="bg-BG"/>
        </w:rPr>
      </w:pPr>
      <w:r>
        <w:rPr>
          <w:lang w:val="bg-BG"/>
        </w:rPr>
        <w:t xml:space="preserve">     </w:t>
      </w:r>
      <w:r>
        <w:rPr>
          <w:lang w:val="bg-BG"/>
        </w:rPr>
        <w:t>Одитор:           .....................</w:t>
      </w:r>
    </w:p>
    <w:p>
      <w:pPr>
        <w:pStyle w:val="Normal"/>
        <w:jc w:val="both"/>
        <w:rPr>
          <w:lang w:val="bg-BG"/>
        </w:rPr>
      </w:pPr>
      <w:r>
        <w:rPr>
          <w:lang w:val="bg-BG"/>
        </w:rPr>
      </w:r>
    </w:p>
    <w:p>
      <w:pPr>
        <w:pStyle w:val="Normal"/>
        <w:ind w:start="284" w:end="0"/>
        <w:jc w:val="both"/>
        <w:rPr>
          <w:lang w:val="bg-BG"/>
        </w:rPr>
      </w:pPr>
      <w:r>
        <w:rPr>
          <w:lang w:val="bg-BG"/>
        </w:rPr>
      </w:r>
    </w:p>
    <w:p>
      <w:pPr>
        <w:pStyle w:val="Normal"/>
        <w:ind w:start="284" w:end="0"/>
        <w:jc w:val="both"/>
        <w:rPr>
          <w:lang w:val="bg-BG"/>
        </w:rPr>
      </w:pPr>
      <w:r>
        <w:rPr>
          <w:lang w:val="bg-BG"/>
        </w:rPr>
      </w:r>
    </w:p>
    <w:p>
      <w:pPr>
        <w:pStyle w:val="Normal"/>
        <w:ind w:start="284" w:end="0"/>
        <w:jc w:val="both"/>
        <w:rPr>
          <w:lang w:val="bg-BG"/>
        </w:rPr>
      </w:pPr>
      <w:r>
        <w:rPr>
          <w:lang w:val="bg-BG"/>
        </w:rPr>
      </w:r>
    </w:p>
    <w:p>
      <w:pPr>
        <w:pStyle w:val="Normal"/>
        <w:ind w:start="284" w:end="0"/>
        <w:jc w:val="both"/>
        <w:rPr>
          <w:rFonts w:cs="Arial"/>
          <w:b/>
          <w:lang w:val="bg-BG"/>
        </w:rPr>
      </w:pPr>
      <w:r>
        <w:rPr>
          <w:lang w:val="bg-BG"/>
        </w:rPr>
        <w:t>Дата: 05.03.2026 г.</w:t>
        <w:tab/>
        <w:tab/>
        <w:tab/>
        <w:tab/>
        <w:tab/>
        <w:tab/>
        <w:tab/>
        <w:tab/>
      </w:r>
    </w:p>
    <w:p>
      <w:pPr>
        <w:pStyle w:val="Normal"/>
        <w:tabs>
          <w:tab w:val="clear" w:pos="708"/>
          <w:tab w:val="left" w:pos="993" w:leader="none"/>
        </w:tabs>
        <w:jc w:val="both"/>
        <w:rPr/>
      </w:pPr>
      <w:r>
        <w:rPr>
          <w:rFonts w:cs="Arial"/>
          <w:b/>
          <w:lang w:val="bg-BG"/>
        </w:rPr>
        <w:t xml:space="preserve">         </w:t>
      </w:r>
      <w:r>
        <w:rPr>
          <w:rFonts w:cs="Arial"/>
          <w:b/>
          <w:sz w:val="22"/>
          <w:lang w:val="bg-BG"/>
        </w:rPr>
        <w:t>Приложение 1</w:t>
      </w:r>
    </w:p>
    <w:p>
      <w:pPr>
        <w:pStyle w:val="Normal"/>
        <w:tabs>
          <w:tab w:val="clear" w:pos="708"/>
          <w:tab w:val="left" w:pos="993" w:leader="none"/>
        </w:tabs>
        <w:jc w:val="both"/>
        <w:rPr>
          <w:rFonts w:cs="Arial"/>
          <w:b/>
          <w:sz w:val="22"/>
          <w:lang w:val="bg-BG"/>
        </w:rPr>
      </w:pPr>
      <w:r>
        <w:rPr>
          <w:rFonts w:cs="Arial"/>
          <w:b/>
          <w:sz w:val="22"/>
          <w:lang w:val="bg-BG"/>
        </w:rPr>
      </w:r>
    </w:p>
    <w:p>
      <w:pPr>
        <w:pStyle w:val="Normal"/>
        <w:tabs>
          <w:tab w:val="clear" w:pos="708"/>
          <w:tab w:val="left" w:pos="993" w:leader="none"/>
        </w:tabs>
        <w:jc w:val="both"/>
        <w:rPr>
          <w:rFonts w:cs="Arial"/>
          <w:b/>
          <w:sz w:val="22"/>
          <w:lang w:val="bg-BG"/>
        </w:rPr>
      </w:pPr>
      <w:r>
        <w:rPr>
          <w:rFonts w:cs="Arial"/>
          <w:b/>
          <w:sz w:val="22"/>
          <w:lang w:val="bg-BG"/>
        </w:rPr>
      </w:r>
    </w:p>
    <w:p>
      <w:pPr>
        <w:pStyle w:val="Normal"/>
        <w:jc w:val="center"/>
        <w:rPr>
          <w:rFonts w:cs="Arial"/>
          <w:b/>
          <w:sz w:val="28"/>
          <w:u w:val="single"/>
          <w:lang w:val="bg-BG"/>
        </w:rPr>
      </w:pPr>
      <w:r>
        <w:rPr>
          <w:rFonts w:cs="Arial"/>
          <w:b/>
          <w:sz w:val="28"/>
          <w:u w:val="single"/>
          <w:lang w:val="bg-BG"/>
        </w:rPr>
        <w:t xml:space="preserve"> </w:t>
      </w:r>
      <w:r>
        <w:rPr>
          <w:rFonts w:cs="Arial"/>
          <w:b/>
          <w:sz w:val="28"/>
          <w:u w:val="single"/>
          <w:lang w:val="bg-BG"/>
        </w:rPr>
        <w:t>КОНСТАТАЦИИ</w:t>
      </w:r>
    </w:p>
    <w:p>
      <w:pPr>
        <w:pStyle w:val="Normal"/>
        <w:tabs>
          <w:tab w:val="clear" w:pos="708"/>
          <w:tab w:val="left" w:pos="993" w:leader="none"/>
        </w:tabs>
        <w:jc w:val="center"/>
        <w:rPr>
          <w:rFonts w:cs="Arial"/>
          <w:b/>
          <w:sz w:val="28"/>
          <w:u w:val="single"/>
          <w:lang w:val="bg-BG"/>
        </w:rPr>
      </w:pPr>
      <w:r>
        <w:rPr>
          <w:rFonts w:cs="Arial"/>
          <w:b/>
          <w:sz w:val="28"/>
          <w:u w:val="single"/>
          <w:lang w:val="bg-BG"/>
        </w:rPr>
      </w:r>
    </w:p>
    <w:p>
      <w:pPr>
        <w:pStyle w:val="Normal"/>
        <w:tabs>
          <w:tab w:val="clear" w:pos="708"/>
          <w:tab w:val="left" w:pos="993" w:leader="none"/>
        </w:tabs>
        <w:jc w:val="center"/>
        <w:rPr>
          <w:rFonts w:cs="Arial"/>
          <w:b/>
          <w:sz w:val="28"/>
          <w:u w:val="single"/>
          <w:lang w:val="bg-BG"/>
        </w:rPr>
      </w:pPr>
      <w:r>
        <w:rPr>
          <w:rFonts w:cs="Arial"/>
          <w:b/>
          <w:sz w:val="28"/>
          <w:u w:val="single"/>
          <w:lang w:val="bg-BG"/>
        </w:rPr>
      </w:r>
    </w:p>
    <w:tbl>
      <w:tblPr>
        <w:tblW w:w="9355" w:type="dxa"/>
        <w:jc w:val="start"/>
        <w:tblInd w:w="534" w:type="dxa"/>
        <w:tblLayout w:type="fixed"/>
        <w:tblCellMar>
          <w:top w:w="0" w:type="dxa"/>
          <w:start w:w="108" w:type="dxa"/>
          <w:bottom w:w="0" w:type="dxa"/>
          <w:end w:w="108" w:type="dxa"/>
        </w:tblCellMar>
      </w:tblPr>
      <w:tblGrid>
        <w:gridCol w:w="1215"/>
        <w:gridCol w:w="2129"/>
        <w:gridCol w:w="6011"/>
      </w:tblGrid>
      <w:tr>
        <w:trPr>
          <w:trHeight w:val="908" w:hRule="atLeast"/>
        </w:trPr>
        <w:tc>
          <w:tcPr>
            <w:tcW w:w="1215"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tabs>
                <w:tab w:val="clear" w:pos="708"/>
                <w:tab w:val="left" w:pos="993" w:leader="none"/>
              </w:tabs>
              <w:jc w:val="center"/>
              <w:rPr>
                <w:rFonts w:cs="Arial"/>
                <w:b/>
                <w:lang w:val="bg-BG"/>
              </w:rPr>
            </w:pPr>
            <w:r>
              <w:rPr>
                <w:rFonts w:cs="Arial"/>
                <w:b/>
                <w:lang w:val="bg-BG"/>
              </w:rPr>
              <w:t>Изискв.</w:t>
            </w:r>
          </w:p>
        </w:tc>
        <w:tc>
          <w:tcPr>
            <w:tcW w:w="2129"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tabs>
                <w:tab w:val="clear" w:pos="708"/>
                <w:tab w:val="left" w:pos="993" w:leader="none"/>
              </w:tabs>
              <w:jc w:val="center"/>
              <w:rPr>
                <w:rFonts w:cs="Arial"/>
                <w:b/>
                <w:lang w:val="bg-BG"/>
              </w:rPr>
            </w:pPr>
            <w:r>
              <w:rPr>
                <w:rFonts w:cs="Arial"/>
                <w:b/>
                <w:lang w:val="bg-BG"/>
              </w:rPr>
              <w:t>Оценка</w:t>
            </w:r>
          </w:p>
        </w:tc>
        <w:tc>
          <w:tcPr>
            <w:tcW w:w="6011"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tabs>
                <w:tab w:val="clear" w:pos="708"/>
                <w:tab w:val="left" w:pos="993" w:leader="none"/>
              </w:tabs>
              <w:jc w:val="center"/>
              <w:rPr>
                <w:rFonts w:cs="Arial"/>
                <w:b/>
                <w:lang w:val="bg-BG"/>
              </w:rPr>
            </w:pPr>
            <w:r>
              <w:rPr>
                <w:rFonts w:cs="Arial"/>
                <w:b/>
                <w:lang w:val="bg-BG"/>
              </w:rPr>
              <w:t>Описание</w:t>
            </w:r>
          </w:p>
        </w:tc>
      </w:tr>
      <w:tr>
        <w:trPr/>
        <w:tc>
          <w:tcPr>
            <w:tcW w:w="121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93" w:leader="none"/>
              </w:tabs>
              <w:rPr>
                <w:rFonts w:cs="Arial"/>
                <w:sz w:val="22"/>
                <w:lang w:val="bg-BG"/>
              </w:rPr>
            </w:pPr>
            <w:r>
              <w:rPr>
                <w:rFonts w:cs="Arial"/>
                <w:sz w:val="22"/>
                <w:lang w:val="bg-BG"/>
              </w:rPr>
              <w:t>9.3</w:t>
            </w:r>
          </w:p>
        </w:tc>
        <w:tc>
          <w:tcPr>
            <w:tcW w:w="212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93" w:leader="none"/>
              </w:tabs>
              <w:rPr>
                <w:rFonts w:cs="Arial"/>
                <w:sz w:val="22"/>
                <w:lang w:val="bg-BG"/>
              </w:rPr>
            </w:pPr>
            <w:r>
              <w:rPr>
                <w:rFonts w:cs="Arial"/>
                <w:sz w:val="22"/>
                <w:lang w:val="bg-BG"/>
              </w:rPr>
              <w:t>Указание</w:t>
            </w:r>
          </w:p>
        </w:tc>
        <w:tc>
          <w:tcPr>
            <w:tcW w:w="60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993" w:leader="none"/>
              </w:tabs>
              <w:rPr>
                <w:rFonts w:cs="Arial"/>
                <w:sz w:val="22"/>
                <w:lang w:val="bg-BG"/>
              </w:rPr>
            </w:pPr>
            <w:r>
              <w:rPr>
                <w:rFonts w:cs="Arial"/>
                <w:sz w:val="22"/>
                <w:lang w:val="bg-BG"/>
              </w:rPr>
              <w:t>Да се извърши преглед от ръководството преди провеждането на външния одит</w:t>
            </w:r>
          </w:p>
        </w:tc>
      </w:tr>
    </w:tbl>
    <w:p>
      <w:pPr>
        <w:pStyle w:val="Normal"/>
        <w:ind w:start="284" w:end="0"/>
        <w:jc w:val="both"/>
        <w:rPr>
          <w:lang w:val="bg-BG"/>
        </w:rPr>
      </w:pPr>
      <w:r>
        <w:rPr>
          <w:lang w:val="bg-BG"/>
        </w:rPr>
      </w:r>
    </w:p>
    <w:sectPr>
      <w:footerReference w:type="default" r:id="rId2"/>
      <w:type w:val="nextPage"/>
      <w:pgSz w:w="11906" w:h="16838"/>
      <w:pgMar w:left="851" w:right="1274"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lang w:val="en-US"/>
    </w:rPr>
  </w:style>
  <w:style w:type="character" w:styleId="HeaderChar">
    <w:name w:val="Header Char"/>
    <w:qFormat/>
    <w:rPr>
      <w:rFonts w:ascii="Times New Roman" w:hAnsi="Times New Roman" w:eastAsia="Times New Roman" w:cs="Times New Roman"/>
      <w:sz w:val="24"/>
      <w:szCs w:val="24"/>
      <w:lang w:val="en-US"/>
    </w:rPr>
  </w:style>
  <w:style w:type="paragraph" w:styleId="Style14">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
    <w:basedOn w:val="Normal"/>
    <w:qFormat/>
    <w:pPr>
      <w:suppressLineNumbers/>
    </w:pPr>
    <w:rPr>
      <w:rFonts w:cs="Arial"/>
    </w:rPr>
  </w:style>
  <w:style w:type="paragraph" w:styleId="Style16">
    <w:name w:val="Колонтитули"/>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153" w:leader="none"/>
        <w:tab w:val="right" w:pos="8306" w:leader="none"/>
      </w:tabs>
    </w:pPr>
    <w:rPr/>
  </w:style>
  <w:style w:type="paragraph" w:styleId="Header">
    <w:name w:val="header"/>
    <w:basedOn w:val="Normal"/>
    <w:pPr>
      <w:tabs>
        <w:tab w:val="clear" w:pos="708"/>
        <w:tab w:val="center" w:pos="4536" w:leader="none"/>
        <w:tab w:val="right" w:pos="9072" w:leader="none"/>
      </w:tabs>
    </w:pPr>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2017-11-13T04:17:00Z</dcterms:created>
  <dc:creator>Georgi</dc:creator>
  <dc:description/>
  <cp:keywords/>
  <dc:language>bg-BG</dc:language>
  <cp:lastModifiedBy>Георги Георгиев</cp:lastModifiedBy>
  <dcterms:modified xsi:type="dcterms:W3CDTF">2026-04-02T14:51:00Z</dcterms:modified>
  <cp:revision>15</cp:revision>
  <dc:subject/>
  <dc:title/>
</cp:coreProperties>
</file>