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900" w:end="0"/>
        <w:jc w:val="center"/>
        <w:rPr/>
      </w:pPr>
      <w:r>
        <w:rPr>
          <w:rFonts w:cs="Arial" w:ascii="Arial" w:hAnsi="Arial"/>
          <w:b/>
          <w:sz w:val="28"/>
        </w:rPr>
        <w:t>Годишна програма за обучение през 2026 г.</w:t>
      </w:r>
    </w:p>
    <w:p>
      <w:pPr>
        <w:pStyle w:val="Normal"/>
        <w:ind w:start="900" w:end="0"/>
        <w:jc w:val="end"/>
        <w:rPr>
          <w:rFonts w:ascii="Arial" w:hAnsi="Arial" w:cs="Arial"/>
          <w:sz w:val="22"/>
          <w:szCs w:val="24"/>
        </w:rPr>
      </w:pPr>
      <w:r>
        <w:rPr>
          <w:rFonts w:cs="Arial" w:ascii="Arial" w:hAnsi="Arial"/>
          <w:sz w:val="22"/>
          <w:szCs w:val="24"/>
        </w:rPr>
        <w:t>Утвърдил: ...................</w:t>
      </w:r>
    </w:p>
    <w:p>
      <w:pPr>
        <w:pStyle w:val="Normal"/>
        <w:ind w:start="900" w:end="0"/>
        <w:jc w:val="end"/>
        <w:rPr>
          <w:rFonts w:ascii="Arial" w:hAnsi="Arial" w:cs="Arial"/>
          <w:sz w:val="22"/>
          <w:szCs w:val="24"/>
        </w:rPr>
      </w:pPr>
      <w:r>
        <w:rPr>
          <w:rFonts w:cs="Arial" w:ascii="Arial" w:hAnsi="Arial"/>
          <w:sz w:val="22"/>
          <w:szCs w:val="24"/>
        </w:rPr>
        <w:tab/>
        <w:tab/>
      </w:r>
    </w:p>
    <w:p>
      <w:pPr>
        <w:pStyle w:val="Normal"/>
        <w:ind w:start="900" w:end="0"/>
        <w:jc w:val="end"/>
        <w:rPr>
          <w:rFonts w:ascii="Arial" w:hAnsi="Arial" w:cs="Arial"/>
          <w:sz w:val="22"/>
          <w:szCs w:val="24"/>
        </w:rPr>
      </w:pPr>
      <w:r>
        <w:rPr>
          <w:rFonts w:cs="Arial" w:ascii="Arial" w:hAnsi="Arial"/>
          <w:sz w:val="22"/>
          <w:szCs w:val="24"/>
        </w:rPr>
        <w:t>Дата: 23</w:t>
      </w:r>
      <w:r>
        <w:rPr>
          <w:rFonts w:cs="Arial" w:ascii="Arial" w:hAnsi="Arial"/>
          <w:sz w:val="22"/>
          <w:szCs w:val="24"/>
          <w:lang w:val="en-US"/>
        </w:rPr>
        <w:t>.0</w:t>
      </w:r>
      <w:r>
        <w:rPr>
          <w:rFonts w:cs="Arial" w:ascii="Arial" w:hAnsi="Arial"/>
          <w:sz w:val="22"/>
          <w:szCs w:val="24"/>
        </w:rPr>
        <w:t>2</w:t>
      </w:r>
      <w:r>
        <w:rPr>
          <w:rFonts w:cs="Arial" w:ascii="Arial" w:hAnsi="Arial"/>
          <w:sz w:val="22"/>
          <w:szCs w:val="24"/>
          <w:lang w:val="en-US"/>
        </w:rPr>
        <w:t>.20</w:t>
      </w:r>
      <w:r>
        <w:rPr>
          <w:rFonts w:cs="Arial" w:ascii="Arial" w:hAnsi="Arial"/>
          <w:sz w:val="22"/>
          <w:szCs w:val="24"/>
        </w:rPr>
        <w:t>26г.</w:t>
      </w:r>
    </w:p>
    <w:p>
      <w:pPr>
        <w:pStyle w:val="Normal"/>
        <w:ind w:start="900" w:end="0"/>
        <w:jc w:val="center"/>
        <w:rPr>
          <w:rFonts w:ascii="Arial" w:hAnsi="Arial" w:cs="Arial"/>
          <w:b/>
          <w:sz w:val="28"/>
          <w:szCs w:val="24"/>
        </w:rPr>
      </w:pPr>
      <w:r>
        <w:rPr>
          <w:rFonts w:cs="Arial" w:ascii="Arial" w:hAnsi="Arial"/>
          <w:b/>
          <w:sz w:val="28"/>
          <w:szCs w:val="24"/>
        </w:rPr>
      </w:r>
    </w:p>
    <w:tbl>
      <w:tblPr>
        <w:tblW w:w="148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71"/>
        <w:gridCol w:w="1429"/>
        <w:gridCol w:w="1796"/>
        <w:gridCol w:w="1762"/>
        <w:gridCol w:w="486"/>
        <w:gridCol w:w="551"/>
        <w:gridCol w:w="601"/>
        <w:gridCol w:w="597"/>
        <w:gridCol w:w="540"/>
        <w:gridCol w:w="649"/>
        <w:gridCol w:w="664"/>
        <w:gridCol w:w="678"/>
        <w:gridCol w:w="651"/>
        <w:gridCol w:w="689"/>
        <w:gridCol w:w="595"/>
        <w:gridCol w:w="653"/>
        <w:gridCol w:w="1838"/>
      </w:tblGrid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cs="Arial" w:ascii="Arial" w:hAnsi="Arial"/>
                <w:b/>
                <w:sz w:val="20"/>
                <w:szCs w:val="24"/>
              </w:rPr>
              <w:t xml:space="preserve">№ </w:t>
            </w:r>
            <w:r>
              <w:rPr>
                <w:rFonts w:cs="Arial" w:ascii="Arial" w:hAnsi="Arial"/>
                <w:b/>
                <w:sz w:val="20"/>
                <w:szCs w:val="24"/>
              </w:rPr>
              <w:t>по ред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b/>
                <w:sz w:val="20"/>
                <w:szCs w:val="24"/>
              </w:rPr>
              <w:t>Вид</w:t>
            </w:r>
            <w:r>
              <w:rPr>
                <w:rFonts w:cs="Arial" w:ascii="Arial" w:hAnsi="Arial"/>
                <w:b/>
                <w:sz w:val="20"/>
                <w:szCs w:val="24"/>
                <w:lang w:val="en-US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4"/>
              </w:rPr>
              <w:t>на обучението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cs="Arial" w:ascii="Arial" w:hAnsi="Arial"/>
                <w:b/>
                <w:sz w:val="20"/>
                <w:szCs w:val="24"/>
              </w:rPr>
              <w:t>Тема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cs="Arial" w:ascii="Arial" w:hAnsi="Arial"/>
                <w:b/>
                <w:sz w:val="20"/>
                <w:szCs w:val="24"/>
              </w:rPr>
              <w:t>на обучението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Heading4"/>
              <w:ind w:hanging="0" w:start="0"/>
              <w:rPr/>
            </w:pPr>
            <w:r>
              <w:rPr>
                <w:rFonts w:cs="Arial" w:ascii="Arial" w:hAnsi="Arial"/>
                <w:sz w:val="20"/>
                <w:szCs w:val="24"/>
              </w:rPr>
              <w:t>Звено</w:t>
            </w:r>
            <w:r>
              <w:rPr>
                <w:rFonts w:cs="Arial" w:ascii="Arial" w:hAnsi="Arial"/>
                <w:sz w:val="20"/>
                <w:szCs w:val="24"/>
                <w:lang w:val="en-US"/>
              </w:rPr>
              <w:t xml:space="preserve"> /</w:t>
            </w:r>
          </w:p>
          <w:p>
            <w:pPr>
              <w:pStyle w:val="Heading5"/>
              <w:ind w:hanging="0" w:start="0"/>
              <w:rPr>
                <w:rFonts w:ascii="Arial" w:hAnsi="Arial" w:cs="Arial"/>
                <w:sz w:val="20"/>
                <w:szCs w:val="24"/>
              </w:rPr>
            </w:pPr>
            <w:r>
              <w:rPr>
                <w:rFonts w:cs="Arial" w:ascii="Arial" w:hAnsi="Arial"/>
                <w:sz w:val="20"/>
                <w:szCs w:val="24"/>
              </w:rPr>
              <w:t>длъжност-но лице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</w:t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ІІ</w:t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ІІІ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ІV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V</w:t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VІ</w:t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VІІ</w:t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VІІІ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ІХ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Heading2"/>
              <w:ind w:hanging="0" w:start="0"/>
              <w:rPr>
                <w:rFonts w:ascii="Arial" w:hAnsi="Arial" w:cs="Arial"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Cs/>
                <w:sz w:val="20"/>
                <w:szCs w:val="24"/>
                <w:u w:val="single"/>
              </w:rPr>
              <w:t>Х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  <w:t>ХІ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/>
                <w:bCs/>
                <w:sz w:val="20"/>
                <w:szCs w:val="24"/>
                <w:u w:val="single"/>
              </w:rPr>
            </w:r>
          </w:p>
          <w:p>
            <w:pPr>
              <w:pStyle w:val="Heading3"/>
              <w:ind w:hanging="0" w:start="0"/>
              <w:rPr>
                <w:rFonts w:ascii="Arial" w:hAnsi="Arial" w:cs="Arial"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Cs/>
                <w:sz w:val="20"/>
                <w:szCs w:val="24"/>
                <w:u w:val="single"/>
              </w:rPr>
              <w:t>ХІІ</w:t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BodyText"/>
              <w:rPr>
                <w:rFonts w:ascii="Arial" w:hAnsi="Arial" w:cs="Arial"/>
                <w:szCs w:val="24"/>
              </w:rPr>
            </w:pPr>
            <w:r>
              <w:rPr>
                <w:rFonts w:cs="Arial" w:ascii="Arial" w:hAnsi="Arial"/>
                <w:szCs w:val="24"/>
              </w:rPr>
              <w:t>Обобщена оценка за ефективността на обучението</w:t>
            </w:r>
          </w:p>
          <w:p>
            <w:pPr>
              <w:pStyle w:val="Heading3"/>
              <w:ind w:hanging="0" w:start="0"/>
              <w:rPr>
                <w:rFonts w:ascii="Arial" w:hAnsi="Arial" w:cs="Arial"/>
                <w:bCs/>
                <w:sz w:val="20"/>
                <w:szCs w:val="24"/>
                <w:u w:val="single"/>
              </w:rPr>
            </w:pPr>
            <w:r>
              <w:rPr>
                <w:rFonts w:cs="Arial" w:ascii="Arial" w:hAnsi="Arial"/>
                <w:bCs/>
                <w:sz w:val="20"/>
                <w:szCs w:val="24"/>
                <w:u w:val="single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>1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лекции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Ел.безопасност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ЗАВАРЧИЦИ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  <w:t>О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>2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лекции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</w:rPr>
              <w:t>Ел.безопасност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bookmarkStart w:id="0" w:name="OLE_LINK1"/>
            <w:r>
              <w:rPr>
                <w:rFonts w:cs="Arial" w:ascii="Arial" w:hAnsi="Arial"/>
                <w:sz w:val="20"/>
              </w:rPr>
              <w:t>МОНТАЖНИЦИ</w:t>
            </w:r>
            <w:bookmarkEnd w:id="0"/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  <w:t>О</w:t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3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</w:rPr>
              <w:t>лекции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ЗБУТ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УПРЗБР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  <w:t>О</w:t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4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семинар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ru-RU"/>
              </w:rPr>
            </w:pPr>
            <w:r>
              <w:rPr>
                <w:rFonts w:cs="Arial" w:ascii="Arial" w:hAnsi="Arial"/>
                <w:sz w:val="20"/>
                <w:lang w:val="ru-RU"/>
              </w:rPr>
              <w:t>Промени в данъчното законодателство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счетоводство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  <w:t>О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5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обучение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>Обучение на персонала за обезопасяване на опасните материали в случай на пожар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МОНТАЖНИЦИ</w:t>
            </w:r>
            <w:r>
              <w:rPr>
                <w:rFonts w:cs="Arial" w:ascii="Arial" w:hAnsi="Arial"/>
                <w:sz w:val="20"/>
                <w:lang w:val="ru-RU"/>
              </w:rPr>
              <w:t xml:space="preserve"> 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</w:t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cs="Arial" w:ascii="Arial" w:hAnsi="Arial"/>
                <w:b/>
                <w:sz w:val="20"/>
                <w:szCs w:val="24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6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обучение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en-US"/>
              </w:rPr>
              <w:t>Изучаване на изискванията към изискванията на електрическите инсталации</w:t>
            </w:r>
            <w:r>
              <w:rPr>
                <w:rFonts w:cs="Arial" w:ascii="Arial" w:hAnsi="Arial"/>
                <w:sz w:val="20"/>
              </w:rPr>
              <w:t xml:space="preserve">. 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ЗЛАТНА ПАНЕГА ЦИМЕНТ АД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  <w:t>О</w:t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0"/>
                <w:szCs w:val="24"/>
                <w:lang w:val="en-US"/>
              </w:rPr>
            </w:pPr>
            <w:r>
              <w:rPr>
                <w:rFonts w:cs="Arial" w:ascii="Arial" w:hAnsi="Arial"/>
                <w:b/>
                <w:sz w:val="20"/>
                <w:szCs w:val="24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7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обучение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en-US"/>
              </w:rPr>
              <w:t>Запознаване с изискванията на Инструкция за реда и начина на работа</w:t>
            </w:r>
            <w:r>
              <w:rPr>
                <w:rFonts w:cs="Arial" w:ascii="Arial" w:hAnsi="Arial"/>
                <w:sz w:val="20"/>
              </w:rPr>
              <w:t xml:space="preserve">. 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ЗЛАТНА ПАНЕГА ЦИМЕНТ АД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</w:t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>15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обучение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>Изучаване на реда за работа при обезвреждане на евентуално разлято опасно хим.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ЗЛАТНА ПАНЕГА ЦИМЕНТ АД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</w:t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>16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обучение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</w:rPr>
              <w:t>Обучение по правилата за първа помощ, самопомощ и взаимопомощ във връзка с конкретните опасности на работното място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  <w:lang w:val="en-US"/>
              </w:rPr>
              <w:t>отдели</w:t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</w:t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  <w:tr>
        <w:trPr/>
        <w:tc>
          <w:tcPr>
            <w:tcW w:w="6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17</w:t>
            </w:r>
          </w:p>
        </w:tc>
        <w:tc>
          <w:tcPr>
            <w:tcW w:w="14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обучение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  <w:t>Опреснителен курс за работещи с повдигателни съоръжения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ru-RU"/>
              </w:rPr>
              <w:t>РАЗКРОЙЧИЦИ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</w:rPr>
              <w:t>ЗАВАРЧИЦИ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  <w:t>СКЛАД</w:t>
            </w:r>
          </w:p>
          <w:p>
            <w:pPr>
              <w:pStyle w:val="Normal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</w:tc>
        <w:tc>
          <w:tcPr>
            <w:tcW w:w="4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cs="Arial" w:ascii="Arial" w:hAnsi="Arial"/>
                <w:sz w:val="20"/>
                <w:lang w:val="en-US"/>
              </w:rPr>
            </w:r>
          </w:p>
        </w:tc>
        <w:tc>
          <w:tcPr>
            <w:tcW w:w="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sz w:val="20"/>
              </w:rPr>
              <w:t>О</w:t>
            </w:r>
          </w:p>
        </w:tc>
        <w:tc>
          <w:tcPr>
            <w:tcW w:w="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6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20"/>
              </w:rPr>
            </w:pPr>
            <w:r>
              <w:rPr>
                <w:rFonts w:cs="Arial" w:ascii="Arial" w:hAnsi="Arial"/>
                <w:bCs/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6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20"/>
              </w:rPr>
            </w:pPr>
            <w:r>
              <w:rPr>
                <w:rFonts w:cs="Arial" w:ascii="Arial" w:hAnsi="Arial"/>
                <w:sz w:val="20"/>
              </w:rPr>
            </w:r>
          </w:p>
        </w:tc>
        <w:tc>
          <w:tcPr>
            <w:tcW w:w="1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cs="Arial" w:ascii="Arial" w:hAnsi="Arial"/>
                <w:b/>
                <w:sz w:val="24"/>
                <w:szCs w:val="24"/>
              </w:rPr>
            </w:r>
          </w:p>
        </w:tc>
      </w:tr>
    </w:tbl>
    <w:p>
      <w:pPr>
        <w:pStyle w:val="Normal"/>
        <w:ind w:start="900" w:end="0"/>
        <w:jc w:val="center"/>
        <w:rPr>
          <w:rFonts w:ascii="Arial" w:hAnsi="Arial" w:cs="Arial"/>
          <w:b/>
          <w:sz w:val="28"/>
        </w:rPr>
      </w:pPr>
      <w:r>
        <w:rPr>
          <w:rFonts w:cs="Arial" w:ascii="Arial" w:hAnsi="Arial"/>
          <w:bCs/>
          <w:sz w:val="16"/>
          <w:szCs w:val="18"/>
        </w:rPr>
        <w:t>ЛЕГЕНДА :</w:t>
      </w:r>
      <w:r>
        <w:rPr>
          <w:rFonts w:cs="Arial" w:ascii="Arial" w:hAnsi="Arial"/>
          <w:sz w:val="16"/>
          <w:szCs w:val="18"/>
        </w:rPr>
        <w:t xml:space="preserve">   </w:t>
      </w:r>
      <w:r>
        <w:rPr>
          <w:rFonts w:cs="Arial" w:ascii="Arial" w:hAnsi="Arial"/>
          <w:bCs/>
          <w:sz w:val="22"/>
          <w:szCs w:val="18"/>
        </w:rPr>
        <w:t xml:space="preserve">О – запланувано обучение; </w:t>
      </w:r>
      <w:r>
        <w:rPr>
          <w:rFonts w:cs="Arial" w:ascii="Arial" w:hAnsi="Arial"/>
          <w:bCs/>
          <w:sz w:val="24"/>
          <w:szCs w:val="18"/>
        </w:rPr>
        <w:t xml:space="preserve">  </w:t>
      </w:r>
      <w:r>
        <w:rPr>
          <w:rFonts w:eastAsia="Marlett" w:cs="Marlett" w:ascii="Marlett" w:hAnsi="Marlett"/>
          <w:bCs/>
          <w:sz w:val="18"/>
          <w:szCs w:val="18"/>
        </w:rPr>
        <w:sym w:font="Marlett" w:char="f06e"/>
      </w:r>
      <w:r>
        <w:rPr>
          <w:rFonts w:cs="Arial" w:ascii="Arial" w:hAnsi="Arial"/>
          <w:bCs/>
          <w:sz w:val="24"/>
          <w:szCs w:val="18"/>
        </w:rPr>
        <w:t xml:space="preserve"> </w:t>
      </w:r>
      <w:r>
        <w:rPr>
          <w:rFonts w:cs="Arial" w:ascii="Arial" w:hAnsi="Arial"/>
          <w:bCs/>
          <w:sz w:val="22"/>
          <w:szCs w:val="18"/>
        </w:rPr>
        <w:t xml:space="preserve">проведено обучение;     ∆  извънпланово обучение;  </w:t>
      </w:r>
    </w:p>
    <w:p>
      <w:pPr>
        <w:pStyle w:val="Normal"/>
        <w:ind w:start="851" w:end="0"/>
        <w:rPr>
          <w:rFonts w:ascii="Arial" w:hAnsi="Arial" w:cs="Arial"/>
          <w:b/>
          <w:sz w:val="24"/>
          <w:lang w:val="ru-RU"/>
        </w:rPr>
      </w:pPr>
      <w:r>
        <w:rPr>
          <w:rFonts w:cs="Arial" w:ascii="Arial" w:hAnsi="Arial"/>
          <w:b/>
          <w:sz w:val="24"/>
          <w:lang w:val="ru-RU"/>
        </w:rPr>
      </w:r>
    </w:p>
    <w:p>
      <w:pPr>
        <w:pStyle w:val="Normal"/>
        <w:ind w:start="851" w:end="0"/>
        <w:jc w:val="center"/>
        <w:rPr/>
      </w:pPr>
      <w:r>
        <w:rPr>
          <w:rFonts w:cs="Arial" w:ascii="Arial" w:hAnsi="Arial"/>
          <w:sz w:val="24"/>
        </w:rPr>
        <w:t>Последна редакция: ПР за СУ, ............................. , 23</w:t>
      </w:r>
      <w:r>
        <w:rPr>
          <w:rFonts w:cs="Arial" w:ascii="Arial" w:hAnsi="Arial"/>
          <w:sz w:val="24"/>
          <w:lang w:val="en-US"/>
        </w:rPr>
        <w:t>.0</w:t>
      </w:r>
      <w:r>
        <w:rPr>
          <w:rFonts w:cs="Arial" w:ascii="Arial" w:hAnsi="Arial"/>
          <w:sz w:val="24"/>
        </w:rPr>
        <w:t>2</w:t>
      </w:r>
      <w:r>
        <w:rPr>
          <w:rFonts w:cs="Arial" w:ascii="Arial" w:hAnsi="Arial"/>
          <w:sz w:val="24"/>
          <w:lang w:val="en-US"/>
        </w:rPr>
        <w:t>.202</w:t>
      </w:r>
      <w:r>
        <w:rPr>
          <w:rFonts w:cs="Arial" w:ascii="Arial" w:hAnsi="Arial"/>
          <w:sz w:val="24"/>
        </w:rPr>
        <w:t>6 г.</w:t>
      </w:r>
    </w:p>
    <w:p>
      <w:pPr>
        <w:pStyle w:val="Normal"/>
        <w:jc w:val="center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  <w:t>/длъжност/фамилия/подпис/дата/</w:t>
      </w:r>
    </w:p>
    <w:p>
      <w:pPr>
        <w:pStyle w:val="Normal"/>
        <w:rPr>
          <w:rFonts w:ascii="Arial" w:hAnsi="Arial" w:cs="Arial"/>
          <w:sz w:val="18"/>
        </w:rPr>
      </w:pPr>
      <w:r>
        <w:rPr>
          <w:rFonts w:cs="Arial" w:ascii="Arial" w:hAnsi="Arial"/>
          <w:sz w:val="18"/>
        </w:rPr>
      </w:r>
    </w:p>
    <w:sectPr>
      <w:headerReference w:type="default" r:id="rId2"/>
      <w:footerReference w:type="default" r:id="rId3"/>
      <w:type w:val="nextPage"/>
      <w:pgSz w:orient="landscape" w:w="15840" w:h="12240"/>
      <w:pgMar w:left="709" w:right="533" w:gutter="0" w:header="426" w:top="709" w:footer="1449" w:bottom="150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Marlett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pPr w:vertAnchor="text" w:horzAnchor="margin" w:rightFromText="141" w:tblpX="0" w:tblpY="196"/>
      <w:tblW w:w="14104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6307"/>
      <w:gridCol w:w="4820"/>
      <w:gridCol w:w="2977"/>
    </w:tblGrid>
    <w:tr>
      <w:trPr>
        <w:cantSplit/>
      </w:trPr>
      <w:tc>
        <w:tcPr>
          <w:tcW w:w="6307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4820" w:type="dxa"/>
          <w:tcBorders>
            <w:top w:val="single" w:sz="6" w:space="0" w:color="000000"/>
          </w:tcBorders>
        </w:tcPr>
        <w:p>
          <w:pPr>
            <w:pStyle w:val="Footer"/>
            <w:snapToGrid w:val="false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2977" w:type="dxa"/>
          <w:tcBorders>
            <w:top w:val="single" w:sz="6" w:space="0" w:color="000000"/>
          </w:tcBorders>
        </w:tcPr>
        <w:p>
          <w:pPr>
            <w:pStyle w:val="Foo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 xml:space="preserve">Стр.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2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</w:rPr>
            <w:t xml:space="preserve"> </w:t>
          </w:r>
          <w:r>
            <w:rPr>
              <w:rFonts w:cs="Arial" w:ascii="Arial" w:hAnsi="Arial"/>
              <w:sz w:val="20"/>
            </w:rPr>
            <w:t xml:space="preserve">от </w:t>
          </w:r>
          <w:r>
            <w:rPr>
              <w:rStyle w:val="PageNumber"/>
              <w:rFonts w:cs="Arial" w:ascii="Arial" w:hAnsi="Arial"/>
              <w:sz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</w:rPr>
            <w:t>2</w:t>
          </w:r>
          <w:r>
            <w:rPr>
              <w:rStyle w:val="PageNumber"/>
              <w:rFonts w:cs="Arial" w:ascii="Arial" w:hAnsi="Arial"/>
              <w:sz w:val="20"/>
            </w:rPr>
            <w:fldChar w:fldCharType="end"/>
          </w:r>
        </w:p>
      </w:tc>
    </w:tr>
    <w:tr>
      <w:trPr>
        <w:trHeight w:val="185" w:hRule="atLeast"/>
        <w:cantSplit/>
      </w:trPr>
      <w:tc>
        <w:tcPr>
          <w:tcW w:w="6307" w:type="dxa"/>
          <w:tcBorders/>
        </w:tcPr>
        <w:p>
          <w:pPr>
            <w:pStyle w:val="Foo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Ревизия 01</w:t>
          </w:r>
        </w:p>
      </w:tc>
      <w:tc>
        <w:tcPr>
          <w:tcW w:w="48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</w:r>
        </w:p>
      </w:tc>
      <w:tc>
        <w:tcPr>
          <w:tcW w:w="2977" w:type="dxa"/>
          <w:tcBorders/>
        </w:tcPr>
        <w:p>
          <w:pPr>
            <w:pStyle w:val="Footer"/>
            <w:rPr>
              <w:rFonts w:ascii="Arial" w:hAnsi="Arial" w:cs="Arial"/>
              <w:sz w:val="20"/>
            </w:rPr>
          </w:pPr>
          <w:r>
            <w:rPr>
              <w:rFonts w:cs="Arial" w:ascii="Arial" w:hAnsi="Arial"/>
              <w:sz w:val="20"/>
            </w:rPr>
            <w:t>Дата: 06.01.2026г.</w:t>
          </w:r>
        </w:p>
      </w:tc>
    </w:tr>
  </w:tbl>
  <w:p>
    <w:pPr>
      <w:pStyle w:val="Footer"/>
      <w:tabs>
        <w:tab w:val="left" w:pos="12616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2789" w:type="dxa"/>
      <w:jc w:val="center"/>
      <w:tblInd w:w="0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693"/>
      <w:gridCol w:w="7229"/>
      <w:gridCol w:w="2867"/>
    </w:tblGrid>
    <w:tr>
      <w:trPr>
        <w:trHeight w:val="440" w:hRule="exact"/>
      </w:trPr>
      <w:tc>
        <w:tcPr>
          <w:tcW w:w="2693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cs="Arial" w:ascii="Arial" w:hAnsi="Arial"/>
              <w:b/>
              <w:sz w:val="24"/>
              <w:szCs w:val="24"/>
            </w:rPr>
            <w:t>СМП ПЛЕВЕН ЕООД</w:t>
          </w:r>
        </w:p>
      </w:tc>
      <w:tc>
        <w:tcPr>
          <w:tcW w:w="722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2867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  <w:t>док. ном.: Ф3-00</w:t>
          </w:r>
        </w:p>
      </w:tc>
    </w:tr>
    <w:tr>
      <w:trPr>
        <w:trHeight w:val="702" w:hRule="exact"/>
      </w:trPr>
      <w:tc>
        <w:tcPr>
          <w:tcW w:w="2693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cs="Arial" w:ascii="Arial" w:hAnsi="Arial"/>
              <w:sz w:val="24"/>
              <w:szCs w:val="24"/>
            </w:rPr>
          </w:r>
        </w:p>
      </w:tc>
      <w:tc>
        <w:tcPr>
          <w:tcW w:w="7229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szCs w:val="28"/>
              <w:lang w:val="ru-RU"/>
            </w:rPr>
          </w:pPr>
          <w:r>
            <w:rPr>
              <w:rFonts w:cs="Arial" w:ascii="Arial" w:hAnsi="Arial"/>
              <w:b/>
              <w:sz w:val="28"/>
              <w:szCs w:val="28"/>
            </w:rPr>
            <w:t>Годишна програма за обучение</w:t>
          </w:r>
        </w:p>
      </w:tc>
      <w:tc>
        <w:tcPr>
          <w:tcW w:w="2867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sz w:val="24"/>
              <w:szCs w:val="24"/>
              <w:lang w:val="ru-RU"/>
            </w:rPr>
          </w:pPr>
          <w:r>
            <w:rPr>
              <w:rFonts w:cs="Arial" w:ascii="Arial" w:hAnsi="Arial"/>
              <w:b/>
              <w:sz w:val="24"/>
              <w:szCs w:val="24"/>
              <w:lang w:val="ru-RU"/>
            </w:rPr>
          </w:r>
        </w:p>
      </w:tc>
    </w:tr>
  </w:tbl>
  <w:p>
    <w:pPr>
      <w:pStyle w:val="Header"/>
      <w:ind w:start="426" w:end="0"/>
      <w:rPr>
        <w:bCs/>
        <w:color w:val="333333"/>
        <w:sz w:val="18"/>
        <w:szCs w:val="26"/>
        <w:u w:val="single"/>
        <w:shd w:fill="F3F3F3" w:val="clear"/>
      </w:rPr>
    </w:pPr>
    <w:r>
      <w:rPr>
        <w:bCs/>
        <w:color w:val="333333"/>
        <w:sz w:val="18"/>
        <w:szCs w:val="26"/>
        <w:u w:val="single"/>
        <w:shd w:fill="F3F3F3" w:val="clear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bidi="ar-SA" w:val="bg-BG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-851" w:end="0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sz w:val="24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9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"/>
    <w:basedOn w:val="Normal"/>
    <w:qFormat/>
    <w:pPr>
      <w:suppressLineNumbers/>
    </w:pPr>
    <w:rPr>
      <w:rFonts w:cs="Arial"/>
    </w:rPr>
  </w:style>
  <w:style w:type="paragraph" w:styleId="Style11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2">
    <w:name w:val="ÐÅÃ.ÍÎÌÅÐ"/>
    <w:next w:val="Normal"/>
    <w:qFormat/>
    <w:pPr>
      <w:widowControl/>
      <w:bidi w:val="0"/>
      <w:spacing w:before="360" w:after="0"/>
    </w:pPr>
    <w:rPr>
      <w:rFonts w:ascii="Times New Roman" w:hAnsi="Times New Roman" w:eastAsia="Times New Roman" w:cs="Times New Roman"/>
      <w:color w:val="auto"/>
      <w:sz w:val="28"/>
      <w:szCs w:val="20"/>
      <w:lang w:val="bg-BG" w:eastAsia="bg-BG" w:bidi="ar-SA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2018-02-20T21:53:00Z</dcterms:created>
  <dc:creator>Kr. Georgieva</dc:creator>
  <dc:description/>
  <cp:keywords/>
  <dc:language>bg-BG</dc:language>
  <cp:lastModifiedBy>Георги Георгиев</cp:lastModifiedBy>
  <cp:lastPrinted>2008-03-24T10:46:00Z</cp:lastPrinted>
  <dcterms:modified xsi:type="dcterms:W3CDTF">2026-04-02T14:55:00Z</dcterms:modified>
  <cp:revision>11</cp:revision>
  <dc:subject/>
  <dc:title>Годишен план за обучения през 200… г</dc:title>
</cp:coreProperties>
</file>