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График за провеждане на вътреш</w:t>
      </w:r>
      <w:r>
        <w:rPr>
          <w:sz w:val="32"/>
          <w:szCs w:val="32"/>
          <w:lang w:val="en-US"/>
        </w:rPr>
        <w:t>e</w:t>
      </w:r>
      <w:r>
        <w:rPr>
          <w:sz w:val="32"/>
          <w:szCs w:val="32"/>
          <w:lang w:val="bg-BG"/>
        </w:rPr>
        <w:t>н одит за 2026 г.</w:t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tbl>
      <w:tblPr>
        <w:tblpPr w:vertAnchor="page" w:horzAnchor="margin" w:tblpXSpec="center" w:leftFromText="141" w:rightFromText="141" w:tblpY="3796"/>
        <w:tblW w:w="1255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5"/>
        <w:gridCol w:w="3743"/>
        <w:gridCol w:w="439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2154"/>
      </w:tblGrid>
      <w:tr>
        <w:trPr>
          <w:cantSplit/>
        </w:trPr>
        <w:tc>
          <w:tcPr>
            <w:tcW w:w="5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№</w:t>
            </w:r>
          </w:p>
        </w:tc>
        <w:tc>
          <w:tcPr>
            <w:tcW w:w="37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О</w:t>
            </w:r>
            <w:r>
              <w:rPr>
                <w:rFonts w:cs="Arial"/>
                <w:sz w:val="20"/>
                <w:lang w:val="bg-BG"/>
              </w:rPr>
              <w:t>дитиран участък/дейност</w:t>
            </w:r>
          </w:p>
        </w:tc>
        <w:tc>
          <w:tcPr>
            <w:tcW w:w="6149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МЕСЕЦ</w:t>
            </w:r>
          </w:p>
        </w:tc>
        <w:tc>
          <w:tcPr>
            <w:tcW w:w="215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</w:rPr>
              <w:t>ЗАБЕЛЕЖКА</w:t>
            </w:r>
          </w:p>
        </w:tc>
      </w:tr>
      <w:tr>
        <w:trPr/>
        <w:tc>
          <w:tcPr>
            <w:tcW w:w="505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</w:r>
          </w:p>
        </w:tc>
        <w:tc>
          <w:tcPr>
            <w:tcW w:w="374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43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</w:t>
            </w:r>
          </w:p>
        </w:tc>
        <w:tc>
          <w:tcPr>
            <w:tcW w:w="52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</w:p>
        </w:tc>
        <w:tc>
          <w:tcPr>
            <w:tcW w:w="215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 xml:space="preserve">1 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 xml:space="preserve">Политика по БЗР 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2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Преглед от ръководството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3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Документи и записи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4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Производство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5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Снабдяване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6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Работа с клиенти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7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ТСИК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8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Измерване, анализ и подобрение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9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Отговорност на ръководството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>10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lang w:val="bg-BG"/>
              </w:rPr>
            </w:pPr>
            <w:r>
              <w:rPr>
                <w:rFonts w:cs="Arial"/>
                <w:b w:val="false"/>
                <w:sz w:val="22"/>
                <w:lang w:val="bg-BG"/>
              </w:rPr>
              <w:t xml:space="preserve">Дейности, свързани с БЗР 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  <w:t>Х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80" w:leader="none"/>
        </w:tabs>
        <w:rPr>
          <w:lang w:val="bg-BG"/>
        </w:rPr>
      </w:pPr>
      <w:r>
        <w:rPr>
          <w:lang w:val="bg-BG"/>
        </w:rPr>
        <w:tab/>
        <w:t xml:space="preserve">Дата: </w:t>
      </w:r>
      <w:r>
        <w:rPr>
          <w:b w:val="false"/>
          <w:lang w:val="bg-BG"/>
        </w:rPr>
        <w:t>23.02</w:t>
      </w:r>
      <w:r>
        <w:rPr>
          <w:b w:val="false"/>
          <w:lang w:val="en-US"/>
        </w:rPr>
        <w:t>.20</w:t>
      </w:r>
      <w:r>
        <w:rPr>
          <w:b w:val="false"/>
          <w:lang w:val="bg-BG"/>
        </w:rPr>
        <w:t>26</w:t>
      </w:r>
      <w:r>
        <w:rPr>
          <w:b w:val="false"/>
          <w:lang w:val="en-US"/>
        </w:rPr>
        <w:t xml:space="preserve"> </w:t>
      </w:r>
      <w:r>
        <w:rPr>
          <w:b w:val="false"/>
          <w:lang w:val="bg-BG"/>
        </w:rPr>
        <w:t>г.</w:t>
      </w:r>
      <w:r>
        <w:rPr>
          <w:lang w:val="bg-BG"/>
        </w:rPr>
        <w:tab/>
        <w:tab/>
        <w:tab/>
        <w:tab/>
        <w:tab/>
        <w:t xml:space="preserve">Съставил: </w:t>
        <w:tab/>
        <w:tab/>
        <w:tab/>
        <w:tab/>
        <w:t>Утвърдил:</w:t>
      </w:r>
    </w:p>
    <w:p>
      <w:pPr>
        <w:pStyle w:val="Normal"/>
        <w:tabs>
          <w:tab w:val="clear" w:pos="708"/>
          <w:tab w:val="left" w:pos="980" w:leader="none"/>
        </w:tabs>
        <w:rPr>
          <w:b w:val="false"/>
          <w:lang w:val="bg-BG"/>
        </w:rPr>
      </w:pPr>
      <w:r>
        <w:rPr>
          <w:lang w:val="bg-BG"/>
        </w:rPr>
        <w:tab/>
        <w:tab/>
        <w:tab/>
        <w:tab/>
        <w:tab/>
        <w:tab/>
        <w:tab/>
        <w:tab/>
        <w:tab/>
        <w:tab/>
        <w:tab/>
      </w:r>
      <w:r>
        <w:rPr>
          <w:b w:val="false"/>
          <w:lang w:val="bg-BG"/>
        </w:rPr>
        <w:tab/>
        <w:tab/>
        <w:tab/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93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190"/>
      <w:gridCol w:w="5040"/>
      <w:gridCol w:w="2700"/>
    </w:tblGrid>
    <w:tr>
      <w:trPr>
        <w:cantSplit/>
      </w:trPr>
      <w:tc>
        <w:tcPr>
          <w:tcW w:w="619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504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2700" w:type="dxa"/>
          <w:tcBorders>
            <w:top w:val="single" w:sz="6" w:space="0" w:color="000000"/>
          </w:tcBorders>
        </w:tcPr>
        <w:p>
          <w:pPr>
            <w:pStyle w:val="Footer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  <w:t xml:space="preserve">Стр.: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rFonts w:cs="Arial"/>
              <w:b w:val="false"/>
              <w:sz w:val="20"/>
            </w:rPr>
            <w:t xml:space="preserve"> от</w:t>
          </w:r>
          <w:r>
            <w:rPr>
              <w:rFonts w:cs="Arial"/>
              <w:b w:val="false"/>
              <w:sz w:val="20"/>
              <w:lang w:val="bg-BG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6190" w:type="dxa"/>
          <w:tcBorders/>
        </w:tcPr>
        <w:p>
          <w:pPr>
            <w:pStyle w:val="Footer"/>
            <w:rPr>
              <w:rFonts w:cs="Arial"/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5040" w:type="dxa"/>
          <w:tcBorders/>
        </w:tcPr>
        <w:p>
          <w:pPr>
            <w:pStyle w:val="Footer"/>
            <w:snapToGrid w:val="false"/>
            <w:rPr>
              <w:rFonts w:cs="Arial"/>
              <w:b w:val="false"/>
              <w:sz w:val="20"/>
              <w:lang w:val="bg-BG"/>
            </w:rPr>
          </w:pPr>
          <w:r>
            <w:rPr>
              <w:rFonts w:cs="Arial"/>
              <w:b w:val="false"/>
              <w:sz w:val="20"/>
              <w:lang w:val="bg-BG"/>
            </w:rPr>
          </w:r>
        </w:p>
      </w:tc>
      <w:tc>
        <w:tcPr>
          <w:tcW w:w="2700" w:type="dxa"/>
          <w:tcBorders/>
        </w:tcPr>
        <w:p>
          <w:pPr>
            <w:pStyle w:val="Footer"/>
            <w:rPr>
              <w:rFonts w:cs="Arial"/>
              <w:b w:val="false"/>
              <w:sz w:val="20"/>
              <w:lang w:val="bg-BG"/>
            </w:rPr>
          </w:pPr>
          <w:r>
            <w:rPr>
              <w:rFonts w:cs="Arial"/>
              <w:b w:val="false"/>
              <w:sz w:val="20"/>
              <w:lang w:val="bg-BG"/>
            </w:rPr>
            <w:t>.</w:t>
          </w:r>
        </w:p>
      </w:tc>
    </w:tr>
  </w:tbl>
  <w:p>
    <w:pPr>
      <w:pStyle w:val="Footer"/>
      <w:rPr>
        <w:b w:val="false"/>
      </w:rPr>
    </w:pPr>
    <w:r>
      <w:rPr>
        <w:b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236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961"/>
      <w:gridCol w:w="7560"/>
      <w:gridCol w:w="1843"/>
    </w:tblGrid>
    <w:tr>
      <w:trPr>
        <w:trHeight w:val="700" w:hRule="exact"/>
      </w:trPr>
      <w:tc>
        <w:tcPr>
          <w:tcW w:w="2961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75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bg-BG"/>
            </w:rPr>
            <w:t>Формуляр</w:t>
          </w:r>
        </w:p>
      </w:tc>
      <w:tc>
        <w:tcPr>
          <w:tcW w:w="1843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5-0</w:t>
          </w:r>
          <w:r>
            <w:rPr>
              <w:b w:val="false"/>
              <w:lang w:val="bg-BG"/>
            </w:rPr>
            <w:t>1</w:t>
          </w:r>
        </w:p>
      </w:tc>
    </w:tr>
    <w:tr>
      <w:trPr>
        <w:trHeight w:val="700" w:hRule="exact"/>
      </w:trPr>
      <w:tc>
        <w:tcPr>
          <w:tcW w:w="2961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75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BodyText22"/>
            <w:rPr/>
          </w:pPr>
          <w:r>
            <w:rPr>
              <w:sz w:val="28"/>
              <w:szCs w:val="28"/>
              <w:lang w:val="bg-BG"/>
            </w:rPr>
            <w:t>График за провеждане на вътреш</w:t>
          </w:r>
          <w:r>
            <w:rPr>
              <w:sz w:val="28"/>
              <w:szCs w:val="28"/>
              <w:lang w:val="en-US"/>
            </w:rPr>
            <w:t>e</w:t>
          </w:r>
          <w:r>
            <w:rPr>
              <w:sz w:val="28"/>
              <w:szCs w:val="28"/>
              <w:lang w:val="bg-BG"/>
            </w:rPr>
            <w:t>н одит</w:t>
          </w:r>
        </w:p>
      </w:tc>
      <w:tc>
        <w:tcPr>
          <w:tcW w:w="1843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 w:val="28"/>
              <w:szCs w:val="28"/>
              <w:lang w:val="bg-BG"/>
            </w:rPr>
          </w:pPr>
          <w:r>
            <w:rPr>
              <w:b w:val="false"/>
              <w:sz w:val="28"/>
              <w:szCs w:val="28"/>
              <w:lang w:val="bg-BG"/>
            </w:rPr>
          </w:r>
        </w:p>
      </w:tc>
    </w:tr>
  </w:tbl>
  <w:p>
    <w:pPr>
      <w:pStyle w:val="Header"/>
      <w:rPr>
        <w:lang w:val="en-US"/>
      </w:rPr>
    </w:pPr>
    <w:r>
      <w:rPr>
        <w:lang w:val="en-US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2">
    <w:name w:val="Body Text 22"/>
    <w:basedOn w:val="Normal"/>
    <w:qFormat/>
    <w:pPr>
      <w:jc w:val="center"/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2018-02-20T18:29:00Z</dcterms:created>
  <dc:creator>Nikolai</dc:creator>
  <dc:description/>
  <cp:keywords/>
  <dc:language>bg-BG</dc:language>
  <cp:lastModifiedBy>Георги Георгиев</cp:lastModifiedBy>
  <cp:lastPrinted>2007-11-15T09:17:00Z</cp:lastPrinted>
  <dcterms:modified xsi:type="dcterms:W3CDTF">2026-04-02T14:56:00Z</dcterms:modified>
  <cp:revision>8</cp:revision>
  <dc:subject/>
  <dc:title>№</dc:title>
</cp:coreProperties>
</file>