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lang w:val="bg-BG"/>
        </w:rPr>
      </w:pPr>
      <w:r>
        <w:rPr>
          <w:sz w:val="28"/>
          <w:szCs w:val="28"/>
          <w:lang w:val="bg-BG"/>
        </w:rPr>
      </w:r>
    </w:p>
    <w:p>
      <w:pPr>
        <w:pStyle w:val="Normal"/>
        <w:numPr>
          <w:ilvl w:val="0"/>
          <w:numId w:val="0"/>
        </w:numPr>
        <w:ind w:start="-142" w:end="708"/>
        <w:jc w:val="center"/>
        <w:outlineLvl w:val="0"/>
        <w:rPr>
          <w:b/>
          <w:sz w:val="32"/>
          <w:szCs w:val="32"/>
          <w:lang w:val="bg-BG"/>
        </w:rPr>
      </w:pPr>
      <w:r>
        <w:rPr>
          <w:b/>
          <w:sz w:val="32"/>
          <w:szCs w:val="32"/>
          <w:lang w:val="bg-BG"/>
        </w:rPr>
        <w:t xml:space="preserve">     </w:t>
      </w:r>
      <w:r>
        <w:rPr>
          <w:b/>
          <w:sz w:val="32"/>
          <w:szCs w:val="32"/>
          <w:lang w:val="bg-BG"/>
        </w:rPr>
        <w:t>Д О К Л А Д  О Т  Р Ъ К О В О Д С Т В О Т О</w:t>
      </w:r>
    </w:p>
    <w:p>
      <w:pPr>
        <w:pStyle w:val="Normal"/>
        <w:numPr>
          <w:ilvl w:val="0"/>
          <w:numId w:val="0"/>
        </w:numPr>
        <w:ind w:start="-142" w:end="708"/>
        <w:jc w:val="center"/>
        <w:outlineLvl w:val="0"/>
        <w:rPr>
          <w:b/>
          <w:sz w:val="24"/>
          <w:szCs w:val="24"/>
          <w:lang w:val="bg-BG"/>
        </w:rPr>
      </w:pPr>
      <w:r>
        <w:rPr>
          <w:b/>
          <w:sz w:val="24"/>
          <w:szCs w:val="24"/>
          <w:lang w:val="bg-BG"/>
        </w:rPr>
      </w:r>
    </w:p>
    <w:p>
      <w:pPr>
        <w:pStyle w:val="Normal"/>
        <w:numPr>
          <w:ilvl w:val="0"/>
          <w:numId w:val="0"/>
        </w:numPr>
        <w:ind w:start="-567" w:end="-426"/>
        <w:jc w:val="center"/>
        <w:outlineLvl w:val="0"/>
        <w:rPr>
          <w:b/>
          <w:sz w:val="28"/>
          <w:szCs w:val="28"/>
          <w:lang w:val="bg-BG"/>
        </w:rPr>
      </w:pPr>
      <w:r>
        <w:rPr>
          <w:b/>
          <w:sz w:val="28"/>
          <w:szCs w:val="28"/>
          <w:lang w:val="bg-BG"/>
        </w:rPr>
        <w:t>относно СУ на СМП ПЛЕВЕН ЕООД</w:t>
      </w:r>
    </w:p>
    <w:p>
      <w:pPr>
        <w:pStyle w:val="Normal"/>
        <w:jc w:val="center"/>
        <w:rPr>
          <w:b/>
          <w:sz w:val="28"/>
          <w:szCs w:val="28"/>
          <w:lang w:val="bg-BG"/>
        </w:rPr>
      </w:pPr>
      <w:r>
        <w:rPr>
          <w:b/>
          <w:sz w:val="28"/>
          <w:szCs w:val="28"/>
          <w:lang w:val="bg-BG"/>
        </w:rPr>
      </w:r>
    </w:p>
    <w:p>
      <w:pPr>
        <w:pStyle w:val="Normal"/>
        <w:jc w:val="center"/>
        <w:rPr>
          <w:b/>
          <w:sz w:val="28"/>
          <w:szCs w:val="28"/>
          <w:lang w:val="bg-BG"/>
        </w:rPr>
      </w:pPr>
      <w:r>
        <w:rPr>
          <w:b/>
          <w:sz w:val="28"/>
          <w:szCs w:val="28"/>
          <w:lang w:val="bg-BG"/>
        </w:rPr>
      </w:r>
    </w:p>
    <w:p>
      <w:pPr>
        <w:pStyle w:val="Normal"/>
        <w:ind w:firstLine="360"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t>1. Основание за провеждане</w:t>
      </w:r>
    </w:p>
    <w:p>
      <w:pPr>
        <w:pStyle w:val="Normal"/>
        <w:ind w:firstLine="360"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r>
    </w:p>
    <w:p>
      <w:pPr>
        <w:pStyle w:val="Normal"/>
        <w:ind w:firstLine="360" w:end="708"/>
        <w:jc w:val="both"/>
        <w:rPr/>
      </w:pPr>
      <w:r>
        <w:rPr>
          <w:rFonts w:cs="Times New Roman CYR" w:ascii="Times New Roman CYR" w:hAnsi="Times New Roman CYR"/>
          <w:sz w:val="24"/>
          <w:szCs w:val="24"/>
          <w:lang w:val="bg-BG"/>
        </w:rPr>
        <w:t>Съгласно т. 9.3 от ISO 45001:2023 се извършва настоящият преглед от ръководството на интегрираната система за управление. Целта е да се осигурят възможностите за подобряване и да се оцени адекватността и ефикасността на внедрените системи в дружеството.</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t>2. Входни елементи</w:t>
      </w:r>
    </w:p>
    <w:p>
      <w:pPr>
        <w:pStyle w:val="Normal"/>
        <w:ind w:firstLine="360"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r>
    </w:p>
    <w:p>
      <w:pPr>
        <w:pStyle w:val="Normal"/>
        <w:ind w:firstLine="360" w:end="708"/>
        <w:jc w:val="both"/>
        <w:rPr/>
      </w:pPr>
      <w:r>
        <w:rPr>
          <w:rFonts w:cs="Times New Roman CYR" w:ascii="Times New Roman CYR" w:hAnsi="Times New Roman CYR"/>
          <w:sz w:val="24"/>
          <w:szCs w:val="24"/>
          <w:lang w:val="bg-BG"/>
        </w:rPr>
        <w:t>Прегледът включва оценяване на своевременното подобряване и необходимостта от промени в СУ на СМП ПЛЕВЕН ЕООД, включително и на политиката и целите по БЗР.</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Входните елементи включват:</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резултат от проведен вътрешен одит за оценяване на съответствието с приложимите изисквания на нормативните актове и с другите изисквания, които организацията е приела да спазва, проведен на 05.03.2026 г.</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резултати от участия и консултации</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информация произхождаща от външни заинтересовани страни, включително получаване на рекламации</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изпълнение на дейностите, свързани със БЗР</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резултатността спрямо околната среда на организацията</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степента на достигане на целите по БЗР </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състоянието на разследването на инциденти, на коригиращите и превантивни действия</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действия, последвали от предишни прегледи от ръководството</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промени в обстоятелствата, включително изменения в изискванията на нормативните актове и други изисквания, свързани със здравето и безопасността при работа </w:t>
      </w:r>
    </w:p>
    <w:p>
      <w:pPr>
        <w:pStyle w:val="Normal"/>
        <w:numPr>
          <w:ilvl w:val="0"/>
          <w:numId w:val="2"/>
        </w:numPr>
        <w:ind w:hanging="360" w:start="72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препоръки за подобряване</w:t>
      </w:r>
    </w:p>
    <w:p>
      <w:pPr>
        <w:pStyle w:val="Header"/>
        <w:numPr>
          <w:ilvl w:val="0"/>
          <w:numId w:val="2"/>
        </w:numPr>
        <w:spacing w:lineRule="atLeast" w:line="100"/>
        <w:ind w:hanging="360" w:start="720" w:end="-24"/>
        <w:jc w:val="both"/>
        <w:rPr>
          <w:color w:val="000000"/>
          <w:sz w:val="24"/>
          <w:szCs w:val="24"/>
          <w:lang w:val="bg-BG"/>
        </w:rPr>
      </w:pPr>
      <w:r>
        <w:rPr>
          <w:sz w:val="24"/>
          <w:szCs w:val="24"/>
          <w:lang w:val="bg-BG"/>
        </w:rPr>
        <w:t>преглед на удовлетвореността на клиента</w:t>
      </w:r>
      <w:r>
        <w:rPr>
          <w:color w:val="000000"/>
          <w:sz w:val="24"/>
          <w:szCs w:val="24"/>
          <w:lang w:val="bg-BG"/>
        </w:rPr>
        <w:t>;</w:t>
      </w:r>
    </w:p>
    <w:p>
      <w:pPr>
        <w:pStyle w:val="Header"/>
        <w:numPr>
          <w:ilvl w:val="0"/>
          <w:numId w:val="2"/>
        </w:numPr>
        <w:spacing w:lineRule="atLeast" w:line="100"/>
        <w:ind w:hanging="360" w:start="720" w:end="-24"/>
        <w:jc w:val="both"/>
        <w:rPr>
          <w:color w:val="000000"/>
          <w:sz w:val="24"/>
          <w:szCs w:val="24"/>
          <w:lang w:val="bg-BG"/>
        </w:rPr>
      </w:pPr>
      <w:r>
        <w:rPr>
          <w:sz w:val="24"/>
          <w:szCs w:val="24"/>
          <w:lang w:val="bg-BG"/>
        </w:rPr>
        <w:t>п</w:t>
      </w:r>
      <w:r>
        <w:rPr>
          <w:color w:val="000000"/>
          <w:sz w:val="24"/>
          <w:szCs w:val="24"/>
          <w:lang w:val="bg-BG"/>
        </w:rPr>
        <w:t>реглед на съответствието с изискванията на продукта;</w:t>
      </w:r>
    </w:p>
    <w:p>
      <w:pPr>
        <w:pStyle w:val="Header"/>
        <w:numPr>
          <w:ilvl w:val="0"/>
          <w:numId w:val="2"/>
        </w:numPr>
        <w:spacing w:lineRule="atLeast" w:line="100"/>
        <w:ind w:hanging="360" w:start="720" w:end="-24"/>
        <w:jc w:val="both"/>
        <w:rPr>
          <w:color w:val="000000"/>
          <w:sz w:val="24"/>
          <w:szCs w:val="24"/>
          <w:lang w:val="bg-BG"/>
        </w:rPr>
      </w:pPr>
      <w:r>
        <w:rPr>
          <w:sz w:val="24"/>
          <w:szCs w:val="24"/>
          <w:lang w:val="bg-BG"/>
        </w:rPr>
        <w:t>преглед на функционирането на процеси и съответствието на продукта</w:t>
      </w:r>
      <w:r>
        <w:rPr>
          <w:color w:val="000000"/>
          <w:sz w:val="24"/>
          <w:szCs w:val="24"/>
          <w:lang w:val="bg-BG"/>
        </w:rPr>
        <w:t>;</w:t>
      </w:r>
    </w:p>
    <w:p>
      <w:pPr>
        <w:pStyle w:val="Header"/>
        <w:numPr>
          <w:ilvl w:val="0"/>
          <w:numId w:val="2"/>
        </w:numPr>
        <w:spacing w:lineRule="atLeast" w:line="100"/>
        <w:ind w:hanging="360" w:start="720" w:end="-24"/>
        <w:jc w:val="both"/>
        <w:rPr>
          <w:sz w:val="24"/>
          <w:szCs w:val="24"/>
          <w:lang w:val="bg-BG"/>
        </w:rPr>
      </w:pPr>
      <w:r>
        <w:rPr>
          <w:sz w:val="24"/>
          <w:szCs w:val="24"/>
          <w:lang w:val="bg-BG"/>
        </w:rPr>
        <w:t>преглед на доставчиците за изминалия период;</w:t>
      </w:r>
    </w:p>
    <w:p>
      <w:pPr>
        <w:pStyle w:val="Header"/>
        <w:numPr>
          <w:ilvl w:val="0"/>
          <w:numId w:val="2"/>
        </w:numPr>
        <w:spacing w:lineRule="atLeast" w:line="100"/>
        <w:ind w:hanging="360" w:start="720" w:end="-24"/>
        <w:jc w:val="both"/>
        <w:rPr>
          <w:sz w:val="24"/>
          <w:szCs w:val="24"/>
          <w:lang w:val="bg-BG"/>
        </w:rPr>
      </w:pPr>
      <w:r>
        <w:rPr>
          <w:sz w:val="24"/>
          <w:szCs w:val="24"/>
          <w:lang w:val="bg-BG"/>
        </w:rPr>
        <w:t>преглед на използваните нормативни документи за актуалност</w:t>
      </w:r>
    </w:p>
    <w:p>
      <w:pPr>
        <w:pStyle w:val="Header"/>
        <w:numPr>
          <w:ilvl w:val="0"/>
          <w:numId w:val="2"/>
        </w:numPr>
        <w:tabs>
          <w:tab w:val="clear" w:pos="4703"/>
          <w:tab w:val="clear" w:pos="9406"/>
          <w:tab w:val="center" w:pos="4320" w:leader="none"/>
          <w:tab w:val="right" w:pos="8640" w:leader="none"/>
          <w:tab w:val="left" w:pos="9639" w:leader="none"/>
        </w:tabs>
        <w:overflowPunct w:val="false"/>
        <w:autoSpaceDE w:val="false"/>
        <w:spacing w:lineRule="atLeast" w:line="100"/>
        <w:ind w:hanging="360" w:start="720" w:end="-24"/>
        <w:jc w:val="both"/>
        <w:textAlignment w:val="baseline"/>
        <w:rPr>
          <w:rFonts w:cs="Arial"/>
          <w:sz w:val="24"/>
          <w:szCs w:val="24"/>
          <w:lang w:val="bg-BG"/>
        </w:rPr>
      </w:pPr>
      <w:r>
        <w:rPr>
          <w:rFonts w:cs="Arial"/>
          <w:sz w:val="24"/>
          <w:szCs w:val="24"/>
          <w:lang w:val="bg-BG"/>
        </w:rPr>
        <w:t>ефикасността на действията, предприети за овладяване на рисковете и възможностите.</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t>3. Констатации</w:t>
      </w:r>
    </w:p>
    <w:p>
      <w:pPr>
        <w:pStyle w:val="Normal"/>
        <w:ind w:firstLine="360"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3.1 Преглед на резултатите от вътрешния одит</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pPr>
      <w:r>
        <w:rPr>
          <w:rFonts w:cs="Times New Roman CYR" w:ascii="Times New Roman CYR" w:hAnsi="Times New Roman CYR"/>
          <w:sz w:val="24"/>
          <w:szCs w:val="24"/>
          <w:lang w:val="bg-BG"/>
        </w:rPr>
        <w:t>Резултатите от проведения вътрешен одит на 05.03.2026 г. за ефикасността на въведените системи за управление бяха анализирани и са предприети своевременни мерки. Взеха се предвид и мненията на вътрешните одитори относно ефикасността на одит екипа при проверката. Установените препоръки от вътрешния одит са отстранени към настоящия момент. Всички изисквания са спазени.</w:t>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3.2 Резултати от участия и консултации</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pPr>
      <w:r>
        <w:rPr>
          <w:rFonts w:cs="Times New Roman CYR" w:ascii="Times New Roman CYR" w:hAnsi="Times New Roman CYR"/>
          <w:sz w:val="24"/>
          <w:szCs w:val="24"/>
          <w:lang w:val="bg-BG"/>
        </w:rPr>
        <w:t>Вътрешната комуникация във фирмата е гарантирана посредством разпространението на заповеди, провеждане на вътрешни оперативки и информационни табла по обектите и в офиса. Във фирмата е създаден ГУТ, чрез които се извършва консултиране на работниците /посредством техния представител/. Протоколирани са регламентирания брой заседания на ГУТ, съгласно нормативната база и изискванията на стандартите. По отношение консултацията с трети страни, фирмата е разпространила политиката си по БЗР на всички страни, проявили интерес към дейността на дружеството. Съставен е и списък на заинтересованите страни, включващ контактни данни за всяка от тях. Списъкът е наличен на работните площадки на фирмата и служителите се запознават с него по време на периодичните инструктажи по БЗР и опреснителните обучения за СУ. Ръководството на фирмата използва всяка предоставена възможност за запознаване на заинтересованите страни с необходимите данни.</w:t>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3.3 Информация от външни заинтересовани страни</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До момента не са констатирани рекламации и жалби от външни заинтересовани страни и клиенти. Ръководството на фирмата е предприело необходимите мерки за адекватна реакция при получаването на такива. Заинтересованите страни биват уведомявани при промяна в политиката на СУ, както и за по-мащабни промени в СУ на дружеството. Предписаните препоръки от миналогодишния одит на СУ от сертифициращата организация са изпълнени.</w:t>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t>3.4 Изпълнение на дейностите, свързани със БЗР</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Ръководството на фирмата е предприело всички регламентирани от нормативната база изисквания да бъдат спазени. За настоящата година не са констатирани нарушения от проведени проверки от Регионалната дирекция на инспекцията по труда. Закупени са Ревизионни книги за извършени инспекции. Водят се стриктно записи за раздадени ЛПС, попълват се стриктно книгите за периодичен, ежедневен и встъпителен инструктаж. Предприети са всички мерки за осигуряване на здравословни и безопасни условия на труд на всички работни площадки на фирмата. Нормативната база се познава от целия ръководен състав. Редовно се актуализират всички закони, директиви, наредби и разпоредби, свързани със БЗР. С оглед стриктно изпълняване и следване на изискванията на ISO 45001:2023 оценката на риска търпи постоянна актуализация и корекция. Тя послужи за определяне на степента на възможните рискови фактори, влияещи върху здравето на целия персонал. Постигнатите нива са заложени в програмата за намаляване на риска и ръководството на фирмата ежедневно се стреми да намали до минимум всеки евентуален рисков фактор. Изпълнението на програмата за намаляване на значимите рискове се оценява като добро, поставените дългосрочни цели се съблюдават при извършване на дейностите.</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pPr>
      <w:r>
        <w:rPr>
          <w:rFonts w:cs="Times New Roman CYR" w:ascii="Times New Roman CYR" w:hAnsi="Times New Roman CYR"/>
          <w:b/>
          <w:sz w:val="24"/>
          <w:szCs w:val="24"/>
          <w:lang w:val="bg-BG"/>
        </w:rPr>
        <w:t xml:space="preserve">3.5 Степен на достигане на целите по БЗР </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pPr>
      <w:r>
        <w:rPr>
          <w:rFonts w:cs="Times New Roman CYR" w:ascii="Times New Roman CYR" w:hAnsi="Times New Roman CYR"/>
          <w:sz w:val="24"/>
          <w:szCs w:val="24"/>
          <w:lang w:val="bg-BG"/>
        </w:rPr>
        <w:t xml:space="preserve">Ръководството на дружеството определи дългосрочни общи цели по БЗР, заложени в декларацията от ръководството и лично поема ангажимент за тяхното изпълнение. </w:t>
      </w:r>
    </w:p>
    <w:p>
      <w:pPr>
        <w:pStyle w:val="Normal"/>
        <w:ind w:firstLine="360" w:end="708"/>
        <w:jc w:val="both"/>
        <w:rPr/>
      </w:pPr>
      <w:r>
        <w:rPr>
          <w:rFonts w:cs="Times New Roman CYR" w:ascii="Times New Roman CYR" w:hAnsi="Times New Roman CYR"/>
          <w:sz w:val="24"/>
          <w:szCs w:val="24"/>
          <w:lang w:val="bg-BG"/>
        </w:rPr>
        <w:t xml:space="preserve">Определени са конкретни цели за качеството, опазване на околната среда и здравословна и безопасна работа, чиято степен на изпълнение за момента може да бъде оценена.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Конкретна цел за БЗР за изминалата година бе недопускането на трудови злополуки при работа и използването на адекватни лични предпазни средства. Въз основа на проведени редовни обучения и инструктажи, раздадени лични предпазни средства и постоянно повишаване на квалификацията и компетентността на сътрудниците, за изминалата година </w:t>
      </w:r>
      <w:r>
        <w:rPr>
          <w:rFonts w:cs="Times New Roman CYR" w:ascii="Times New Roman CYR" w:hAnsi="Times New Roman CYR"/>
          <w:sz w:val="24"/>
          <w:szCs w:val="24"/>
        </w:rPr>
        <w:t xml:space="preserve">e </w:t>
      </w:r>
      <w:r>
        <w:rPr>
          <w:rFonts w:cs="Times New Roman CYR" w:ascii="Times New Roman CYR" w:hAnsi="Times New Roman CYR"/>
          <w:sz w:val="24"/>
          <w:szCs w:val="24"/>
          <w:lang w:val="bg-BG"/>
        </w:rPr>
        <w:t>възникнал един трудов инцидент на работните площадки на дружеството, за който са предприети своевременно всички приложими мерки и са изпълнени изискванията на трудовото законодателство. Пострадалото лице се възстановява успешно и се очаква да продължи работа във фирмата. Изпълнението на целите по БЗР за 2026 г. също се оценява като сравнително успешно.</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pPr>
      <w:r>
        <w:rPr>
          <w:rFonts w:cs="Times New Roman CYR" w:ascii="Times New Roman CYR" w:hAnsi="Times New Roman CYR"/>
          <w:b/>
          <w:sz w:val="24"/>
          <w:szCs w:val="24"/>
          <w:lang w:val="bg-BG"/>
        </w:rPr>
        <w:t>3.6 Състояние на разследването на инциденти и коригиращите действия</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Фирмата е предприела всички необходими мерки за недопускане на инциденти на работните площадки. Разработена е програма за намаляване на риска и са взети предвид всички законови изисквания. При проведения вътрешен одит са констатирани препоръки, за които незабавно са предприети необходимите мерки, съгласно действащите процедури. Нагледна е пълна проследимост на предприетите коригиращи действия. Взети са в предвид всички указания, констатирани при проведения вътрешен одит.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Служителите документират редовно своите предложения за коригиращи мерки, като ръководството преглежда записите и дава своето становище по възникналите предложения.</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pPr>
      <w:r>
        <w:rPr>
          <w:rFonts w:cs="Times New Roman CYR" w:ascii="Times New Roman CYR" w:hAnsi="Times New Roman CYR"/>
          <w:b/>
          <w:sz w:val="24"/>
          <w:szCs w:val="24"/>
          <w:lang w:val="bg-BG"/>
        </w:rPr>
        <w:t>3.7 Действия, последвали от предишни прегледи от ръководството</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Изходните елементи от миналогодишния преглед от ръководството са предприети и се изпълняват. Следва обаче да продължи да се работи върху насърчаване на получаването на обратна връзка от служителите на фирмата по отношение на СУ и съответно да се генерират повече записи в бланките за предложения за коригиращи мерки. </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pPr>
      <w:r>
        <w:rPr>
          <w:rFonts w:cs="Times New Roman CYR" w:ascii="Times New Roman CYR" w:hAnsi="Times New Roman CYR"/>
          <w:b/>
          <w:sz w:val="24"/>
          <w:szCs w:val="24"/>
          <w:lang w:val="bg-BG"/>
        </w:rPr>
        <w:t>3.8 Промени в обстоятелствата</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pPr>
      <w:r>
        <w:rPr>
          <w:rFonts w:cs="Times New Roman CYR" w:ascii="Times New Roman CYR" w:hAnsi="Times New Roman CYR"/>
          <w:sz w:val="24"/>
          <w:szCs w:val="24"/>
          <w:lang w:val="bg-BG"/>
        </w:rPr>
        <w:t>Чрез заповед от ръководството са определени лица, които са задължени редовно да актуализират базата данни на нормативни документи и изисквания, касаещи дейността на организацията. Създали сме необходимата инфраструктура, осигуряваща бърз и надежден достъп до електронните страници на всички министерства и ведомства, имащи отношение към дейността на дружеството. До настоящия момент не са констатирани и установени съществени промени в нормативните изисквания.</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pPr>
      <w:r>
        <w:rPr>
          <w:rFonts w:cs="Times New Roman CYR" w:ascii="Times New Roman CYR" w:hAnsi="Times New Roman CYR"/>
          <w:b/>
          <w:sz w:val="24"/>
          <w:szCs w:val="24"/>
          <w:lang w:val="bg-BG"/>
        </w:rPr>
        <w:t>3.9 Препоръки за подобряване</w:t>
      </w:r>
    </w:p>
    <w:p>
      <w:pPr>
        <w:pStyle w:val="Normal"/>
        <w:ind w:firstLine="360"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За изминалата година не са постъпили препоръки от заинтересованите страни. Постъпилите предложения за извършване на коригиращи и превантивни действия от страна на работещите във фирмата в основни линии са относно подмяната на дефектирало оборудване и техника, както и подобряване на условията на труд. Следва да се обърне внимание и да се акцентира върху повишаване на ангажираността на сътрудниците на фирмата по отношение на СУ.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Header"/>
        <w:spacing w:lineRule="atLeast" w:line="100"/>
        <w:ind w:end="708"/>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Header"/>
        <w:tabs>
          <w:tab w:val="clear" w:pos="4703"/>
          <w:tab w:val="clear" w:pos="9406"/>
          <w:tab w:val="center" w:pos="4320" w:leader="none"/>
          <w:tab w:val="right" w:pos="8640" w:leader="none"/>
          <w:tab w:val="left" w:pos="9639" w:leader="none"/>
        </w:tabs>
        <w:overflowPunct w:val="false"/>
        <w:autoSpaceDE w:val="false"/>
        <w:spacing w:lineRule="atLeast" w:line="100"/>
        <w:ind w:start="426" w:end="708"/>
        <w:textAlignment w:val="baseline"/>
        <w:rPr>
          <w:b/>
          <w:sz w:val="28"/>
          <w:szCs w:val="28"/>
          <w:lang w:val="bg-BG"/>
        </w:rPr>
      </w:pPr>
      <w:r>
        <w:rPr>
          <w:b/>
          <w:sz w:val="24"/>
          <w:szCs w:val="28"/>
          <w:lang w:val="bg-BG"/>
        </w:rPr>
        <w:t>3.10 Преглед на използваните нормативни документи за актуалност</w:t>
      </w:r>
    </w:p>
    <w:p>
      <w:pPr>
        <w:pStyle w:val="Header"/>
        <w:spacing w:lineRule="atLeast" w:line="100"/>
        <w:ind w:end="708"/>
        <w:jc w:val="both"/>
        <w:rPr>
          <w:sz w:val="24"/>
          <w:szCs w:val="24"/>
          <w:lang w:val="bg-BG"/>
        </w:rPr>
      </w:pPr>
      <w:r>
        <w:rPr>
          <w:sz w:val="24"/>
          <w:szCs w:val="24"/>
          <w:lang w:val="bg-BG"/>
        </w:rPr>
        <w:tab/>
      </w:r>
    </w:p>
    <w:p>
      <w:pPr>
        <w:pStyle w:val="Header"/>
        <w:spacing w:lineRule="atLeast" w:line="100"/>
        <w:ind w:end="708"/>
        <w:jc w:val="both"/>
        <w:rPr>
          <w:sz w:val="24"/>
          <w:szCs w:val="24"/>
          <w:lang w:val="bg-BG"/>
        </w:rPr>
      </w:pPr>
      <w:r>
        <w:rPr>
          <w:sz w:val="24"/>
          <w:szCs w:val="24"/>
          <w:lang w:val="bg-BG"/>
        </w:rPr>
        <w:tab/>
        <w:t xml:space="preserve">При извършването на вътрешния одит се установи, че ръководителите на самостоятелни звена следят актуалността на използваните от тях нормативни уредби съобразно спецификата им на работа. Има определено със заповед лице, което следи цялостната нормативна уредба и отразява промените в нея адекватно в съответния документ. През изминалата година не са влезли в сила съществени изменения в нормативната база, които да породят промени в работните процеси и дейности, изпълнявани от </w:t>
      </w:r>
      <w:r>
        <w:rPr>
          <w:rFonts w:cs="Times New Roman CYR" w:ascii="Times New Roman CYR" w:hAnsi="Times New Roman CYR"/>
          <w:sz w:val="24"/>
          <w:szCs w:val="24"/>
          <w:lang w:val="bg-BG"/>
        </w:rPr>
        <w:t>СМП ПЛЕВЕН ЕООД</w:t>
      </w:r>
      <w:r>
        <w:rPr>
          <w:sz w:val="24"/>
          <w:szCs w:val="24"/>
          <w:lang w:val="bg-BG"/>
        </w:rPr>
        <w:t>.</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pPr>
      <w:r>
        <w:rPr>
          <w:rFonts w:cs="Times New Roman CYR" w:ascii="Times New Roman CYR" w:hAnsi="Times New Roman CYR"/>
          <w:sz w:val="24"/>
          <w:szCs w:val="24"/>
          <w:lang w:val="bg-BG"/>
        </w:rPr>
        <w:t xml:space="preserve">        </w:t>
      </w:r>
      <w:r>
        <w:rPr>
          <w:rFonts w:cs="Times New Roman CYR" w:ascii="Times New Roman CYR" w:hAnsi="Times New Roman CYR"/>
          <w:b/>
          <w:sz w:val="24"/>
          <w:szCs w:val="24"/>
          <w:lang w:val="bg-BG"/>
        </w:rPr>
        <w:t>3.11 Ефикасност на действията, предприети за овладяване на рисковете и възможностите</w:t>
      </w:r>
    </w:p>
    <w:p>
      <w:pPr>
        <w:pStyle w:val="Normal"/>
        <w:ind w:end="708"/>
        <w:jc w:val="both"/>
        <w:rPr>
          <w:rFonts w:ascii="Times New Roman CYR" w:hAnsi="Times New Roman CYR" w:cs="Times New Roman CYR"/>
          <w:b/>
          <w:sz w:val="24"/>
          <w:szCs w:val="24"/>
          <w:lang w:val="bg-BG"/>
        </w:rPr>
      </w:pPr>
      <w:r>
        <w:rPr>
          <w:rFonts w:cs="Times New Roman CYR" w:ascii="Times New Roman CYR" w:hAnsi="Times New Roman CYR"/>
          <w:b/>
          <w:sz w:val="24"/>
          <w:szCs w:val="24"/>
          <w:lang w:val="bg-BG"/>
        </w:rPr>
      </w:r>
    </w:p>
    <w:p>
      <w:pPr>
        <w:pStyle w:val="Normal"/>
        <w:ind w:end="708"/>
        <w:jc w:val="both"/>
        <w:rPr/>
      </w:pPr>
      <w:r>
        <w:rPr>
          <w:rFonts w:cs="Times New Roman CYR" w:ascii="Times New Roman CYR" w:hAnsi="Times New Roman CYR"/>
          <w:sz w:val="24"/>
          <w:szCs w:val="24"/>
          <w:lang w:val="bg-BG"/>
        </w:rPr>
        <w:t>За периода от въвеждането на редакцията на СУ съгласно актуализацията на стандартите ISO 45001 до момента са идентифицирани и описани рисковете и възможностите за организацията. Извършена е последваща оценка на рисковете по предварително разработена методика, като не са установени значителни рискове, налагащи последващи действия.</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t>4. Изходни елементи</w:t>
      </w:r>
    </w:p>
    <w:p>
      <w:pPr>
        <w:pStyle w:val="Normal"/>
        <w:ind w:firstLine="360" w:end="708"/>
        <w:jc w:val="both"/>
        <w:rPr>
          <w:rFonts w:ascii="Times New Roman CYR" w:hAnsi="Times New Roman CYR" w:cs="Times New Roman CYR"/>
          <w:b/>
          <w:sz w:val="24"/>
          <w:szCs w:val="24"/>
          <w:u w:val="single"/>
          <w:lang w:val="bg-BG"/>
        </w:rPr>
      </w:pPr>
      <w:r>
        <w:rPr>
          <w:rFonts w:cs="Times New Roman CYR" w:ascii="Times New Roman CYR" w:hAnsi="Times New Roman CYR"/>
          <w:b/>
          <w:sz w:val="24"/>
          <w:szCs w:val="24"/>
          <w:u w:val="single"/>
          <w:lang w:val="bg-BG"/>
        </w:rPr>
      </w:r>
    </w:p>
    <w:p>
      <w:pPr>
        <w:pStyle w:val="Normal"/>
        <w:ind w:firstLine="360" w:end="708"/>
        <w:jc w:val="both"/>
        <w:rPr/>
      </w:pPr>
      <w:r>
        <w:rPr>
          <w:rFonts w:cs="Times New Roman CYR" w:ascii="Times New Roman CYR" w:hAnsi="Times New Roman CYR"/>
          <w:sz w:val="24"/>
          <w:szCs w:val="24"/>
          <w:lang w:val="bg-BG"/>
        </w:rPr>
        <w:t xml:space="preserve">Ръководството на СМП ПЛЕВЕН ЕООД се задължава периодично да анализира и в случай на необходимост да актуализира и преработи политиката си по БЗР. В края на календарната 2026 г. ръководството се ангажира съвместно със създадените работни групи да заложи целите на СУ за следващата календарна година.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Ръководството поема личен ангажимент за съблюдаване правилността на извършваните дейности съгласно изискванията на стандартите и да осигури необходимите човешки и финансови ресурси.</w:t>
      </w:r>
    </w:p>
    <w:p>
      <w:pPr>
        <w:pStyle w:val="Normal"/>
        <w:ind w:firstLine="360" w:end="708"/>
        <w:jc w:val="both"/>
        <w:rPr/>
      </w:pPr>
      <w:r>
        <w:rPr>
          <w:rFonts w:cs="Times New Roman CYR" w:ascii="Times New Roman CYR" w:hAnsi="Times New Roman CYR"/>
          <w:sz w:val="24"/>
          <w:szCs w:val="24"/>
          <w:lang w:val="bg-BG"/>
        </w:rPr>
        <w:t>Непрекъснатото подобряване на системата за управление е ключова мисия и визия на ръководството на дружеството, целяща намаляване до минимум вредното въздействие върху околната среда и осигуряваща оптимизиране на всички фактори, имащи вредно влияние върху качеството и здравословната и безопасна работа.</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Следва да се наблегне върху изпълнението на предвидените мерки за намаляване въздействието на значимите аспекти на околната среда. Необходимо е да се засили мониторинга на аспектите, за да се постигне по-висока и точна резултатност и да се осигури възможност за извършване на реален анализ на ефективността на предприетите мерки.</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Препоръчва се да се повиши ефикасността по отношение събираемост на данни от проведени анкети за изследване на клиентската удовлетвореност, както и препоръки за коригиращи действия от страна на служителите на фирмата.</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Необходимо е също записите, касаещи БЗР да се водят стриктно и акуратно от предварително определени със заповед лица, притежаващи нужните компетенции и умения.</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t xml:space="preserve">Изходните елементи са достъпни за разпространение на всички заинтересовани страни,  желаещи достъп до тази информация. </w:t>
      </w:r>
    </w:p>
    <w:p>
      <w:pPr>
        <w:pStyle w:val="Normal"/>
        <w:ind w:firstLine="360"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pPr>
      <w:r>
        <w:rPr>
          <w:rFonts w:cs="Times New Roman CYR" w:ascii="Times New Roman CYR" w:hAnsi="Times New Roman CYR"/>
          <w:sz w:val="24"/>
          <w:szCs w:val="24"/>
          <w:lang w:val="bg-BG"/>
        </w:rPr>
        <w:t>Управител: ....................................</w:t>
      </w:r>
    </w:p>
    <w:p>
      <w:pPr>
        <w:pStyle w:val="Normal"/>
        <w:ind w:firstLine="360" w:end="708"/>
        <w:jc w:val="both"/>
        <w:rPr/>
      </w:pPr>
      <w:r>
        <w:rPr>
          <w:rFonts w:cs="Times New Roman CYR" w:ascii="Times New Roman CYR" w:hAnsi="Times New Roman CYR"/>
          <w:sz w:val="24"/>
          <w:szCs w:val="24"/>
          <w:lang w:val="bg-BG"/>
        </w:rPr>
        <w:tab/>
        <w:t xml:space="preserve">                / АДЕЛИЯ ТОМОВА ТОДОРОВА /</w:t>
      </w:r>
    </w:p>
    <w:p>
      <w:pPr>
        <w:pStyle w:val="Normal"/>
        <w:ind w:end="708"/>
        <w:jc w:val="both"/>
        <w:rPr>
          <w:rFonts w:ascii="Times New Roman CYR" w:hAnsi="Times New Roman CYR" w:cs="Times New Roman CYR"/>
          <w:sz w:val="24"/>
          <w:szCs w:val="24"/>
          <w:lang w:val="bg-BG"/>
        </w:rPr>
      </w:pPr>
      <w:r>
        <w:rPr>
          <w:rFonts w:cs="Times New Roman CYR" w:ascii="Times New Roman CYR" w:hAnsi="Times New Roman CYR"/>
          <w:sz w:val="24"/>
          <w:szCs w:val="24"/>
          <w:lang w:val="bg-BG"/>
        </w:rPr>
      </w:r>
    </w:p>
    <w:p>
      <w:pPr>
        <w:pStyle w:val="Normal"/>
        <w:ind w:firstLine="360" w:end="708"/>
        <w:jc w:val="both"/>
        <w:rPr/>
      </w:pPr>
      <w:r>
        <w:rPr>
          <w:sz w:val="24"/>
          <w:szCs w:val="24"/>
          <w:lang w:val="bg-BG"/>
        </w:rPr>
        <w:t>Дата: 09.03.2026 г.</w:t>
      </w:r>
    </w:p>
    <w:sectPr>
      <w:footerReference w:type="default" r:id="rId2"/>
      <w:type w:val="nextPage"/>
      <w:pgSz w:w="11906" w:h="16838"/>
      <w:pgMar w:left="1276" w:right="567" w:gutter="0" w:header="0" w:top="1135" w:footer="708" w:bottom="7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Times New Roman CYR">
    <w:charset w:val="cc" w:characterSet="windows-1251"/>
    <w:family w:val="roman"/>
    <w:pitch w:val="variable"/>
  </w:font>
  <w:font w:name="Liberation Sans">
    <w:altName w:val="Arial"/>
    <w:charset w:val="cc" w:characterSet="windows-1251"/>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szCs w:val="24"/>
        <w:lang w:val="bg-BG"/>
      </w:rPr>
      <w:t>Стр.</w:t>
    </w:r>
    <w:r>
      <w:rPr>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4</w:t>
    </w:r>
    <w:r>
      <w:rPr>
        <w:sz w:val="24"/>
        <w:szCs w:val="24"/>
      </w:rPr>
      <w:fldChar w:fldCharType="end"/>
    </w:r>
    <w:r>
      <w:rPr>
        <w:sz w:val="24"/>
        <w:szCs w:val="24"/>
      </w:rPr>
      <w:t xml:space="preserve"> </w:t>
    </w:r>
    <w:r>
      <w:rPr>
        <w:sz w:val="24"/>
        <w:szCs w:val="24"/>
        <w:lang w:val="bg-BG"/>
      </w:rPr>
      <w:t>от</w:t>
    </w:r>
    <w:r>
      <w:rPr>
        <w:sz w:val="24"/>
        <w:szCs w:val="24"/>
      </w:rPr>
      <w:t xml:space="preserve"> </w:t>
    </w:r>
    <w:r>
      <w:rPr>
        <w:sz w:val="24"/>
        <w:szCs w:val="24"/>
        <w:lang w:val="bg-BG"/>
      </w:rPr>
      <w:t>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abstractNum>
  <w:abstractNum w:abstractNumId="2">
    <w:lvl w:ilvl="0">
      <w:start w:val="2"/>
      <w:numFmt w:val="bullet"/>
      <w:lvlText w:val="-"/>
      <w:lvlJc w:val="start"/>
      <w:pPr>
        <w:tabs>
          <w:tab w:val="num" w:pos="720"/>
        </w:tabs>
        <w:ind w:start="720" w:hanging="360"/>
      </w:pPr>
      <w:rPr>
        <w:rFonts w:ascii="Arial" w:hAnsi="Arial" w:cs="Aria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5z0">
    <w:name w:val="WW8Num5z0"/>
    <w:qFormat/>
    <w:rPr>
      <w:rFonts w:ascii="Arial" w:hAnsi="Arial" w:eastAsia="Times New Roman"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Symbol" w:hAnsi="Symbol" w:cs="Symbol"/>
    </w:rPr>
  </w:style>
  <w:style w:type="character" w:styleId="WW8Num10z0">
    <w:name w:val="WW8Num10z0"/>
    <w:qFormat/>
    <w:rPr/>
  </w:style>
  <w:style w:type="character" w:styleId="WW8Num11z0">
    <w:name w:val="WW8Num11z0"/>
    <w:qFormat/>
    <w:rPr>
      <w:rFonts w:ascii="Times New Roman CYR" w:hAnsi="Times New Roman CYR" w:cs="Times New Roman CYR"/>
      <w:b w:val="false"/>
      <w:i w:val="false"/>
      <w:sz w:val="24"/>
      <w:u w:val="none"/>
    </w:rPr>
  </w:style>
  <w:style w:type="character" w:styleId="WW8Num12z0">
    <w:name w:val="WW8Num12z0"/>
    <w:qFormat/>
    <w:rPr/>
  </w:style>
  <w:style w:type="character" w:styleId="WW8Num13z0">
    <w:name w:val="WW8Num13z0"/>
    <w:qFormat/>
    <w:rPr>
      <w:b/>
    </w:rPr>
  </w:style>
  <w:style w:type="character" w:styleId="WW8Num14z0">
    <w:name w:val="WW8Num14z0"/>
    <w:qFormat/>
    <w:rPr/>
  </w:style>
  <w:style w:type="character" w:styleId="WW8Num15z0">
    <w:name w:val="WW8Num15z0"/>
    <w:qFormat/>
    <w:rPr>
      <w:rFonts w:ascii="Times New Roman CYR" w:hAnsi="Times New Roman CYR" w:eastAsia="Times New Roman" w:cs="Times New Roman CYR"/>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cs="Times New Roman"/>
    </w:rPr>
  </w:style>
  <w:style w:type="character" w:styleId="WW8Num17z0">
    <w:name w:val="WW8Num17z0"/>
    <w:qFormat/>
    <w:rPr>
      <w:rFonts w:ascii="Wingdings" w:hAnsi="Wingdings" w:cs="Wingdings"/>
    </w:rPr>
  </w:style>
  <w:style w:type="character" w:styleId="WW8Num17z1">
    <w:name w:val="WW8Num17z1"/>
    <w:qFormat/>
    <w:rPr>
      <w:rFonts w:ascii="Symbol" w:hAnsi="Symbol" w:cs="Symbol"/>
    </w:rPr>
  </w:style>
  <w:style w:type="character" w:styleId="WW8Num17z4">
    <w:name w:val="WW8Num17z4"/>
    <w:qFormat/>
    <w:rPr>
      <w:rFonts w:ascii="Courier New" w:hAnsi="Courier New" w:cs="Courier New"/>
    </w:rPr>
  </w:style>
  <w:style w:type="character" w:styleId="WW8Num18z0">
    <w:name w:val="WW8Num18z0"/>
    <w:qFormat/>
    <w:rPr/>
  </w:style>
  <w:style w:type="character" w:styleId="WW8Num19z0">
    <w:name w:val="WW8Num19z0"/>
    <w:qFormat/>
    <w:rPr/>
  </w:style>
  <w:style w:type="character" w:styleId="WW8Num20z0">
    <w:name w:val="WW8Num20z0"/>
    <w:qFormat/>
    <w:rPr>
      <w:b/>
    </w:rPr>
  </w:style>
  <w:style w:type="character" w:styleId="DefaultParagraphFont">
    <w:name w:val="Default Paragraph Font"/>
    <w:qFormat/>
    <w:rPr/>
  </w:style>
  <w:style w:type="paragraph" w:styleId="Style14">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
    <w:basedOn w:val="Normal"/>
    <w:qFormat/>
    <w:pPr>
      <w:suppressLineNumbers/>
    </w:pPr>
    <w:rPr>
      <w:rFonts w:cs="Arial"/>
    </w:rPr>
  </w:style>
  <w:style w:type="paragraph" w:styleId="Style16">
    <w:name w:val="Колонтитули"/>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lang w:val="en-AU"/>
    </w:rPr>
  </w:style>
  <w:style w:type="paragraph" w:styleId="Header">
    <w:name w:val="header"/>
    <w:basedOn w:val="Normal"/>
    <w:pPr>
      <w:tabs>
        <w:tab w:val="clear" w:pos="720"/>
        <w:tab w:val="center" w:pos="4703" w:leader="none"/>
        <w:tab w:val="right" w:pos="9406" w:leader="none"/>
      </w:tabs>
    </w:pPr>
    <w:rPr/>
  </w:style>
  <w:style w:type="paragraph" w:styleId="BodyTextIndent">
    <w:name w:val="Body Text Indent"/>
    <w:basedOn w:val="Normal"/>
    <w:pPr>
      <w:ind w:firstLine="360" w:start="0" w:end="0"/>
      <w:jc w:val="both"/>
    </w:pPr>
    <w:rPr>
      <w:sz w:val="24"/>
      <w:szCs w:val="24"/>
      <w:lang w:val="bg-BG"/>
    </w:rPr>
  </w:style>
  <w:style w:type="paragraph" w:styleId="BalloonText">
    <w:name w:val="Balloon Text"/>
    <w:basedOn w:val="Normal"/>
    <w:qFormat/>
    <w:pPr/>
    <w:rPr>
      <w:rFonts w:ascii="Tahoma" w:hAnsi="Tahoma" w:cs="Tahoma"/>
      <w:sz w:val="16"/>
      <w:szCs w:val="16"/>
    </w:rPr>
  </w:style>
  <w:style w:type="paragraph" w:styleId="ListBullet">
    <w:name w:val="List Bullet"/>
    <w:basedOn w:val="Normal"/>
    <w:qFormat/>
    <w:pPr>
      <w:numPr>
        <w:ilvl w:val="0"/>
        <w:numId w:val="1"/>
      </w:numPr>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2017-11-13T04:39:00Z</dcterms:created>
  <dc:creator>v</dc:creator>
  <dc:description/>
  <cp:keywords/>
  <dc:language>bg-BG</dc:language>
  <cp:lastModifiedBy>Георги Георгиев</cp:lastModifiedBy>
  <cp:lastPrinted>2015-09-11T14:13:00Z</cp:lastPrinted>
  <dcterms:modified xsi:type="dcterms:W3CDTF">2026-04-02T14:59:00Z</dcterms:modified>
  <cp:revision>17</cp:revision>
  <dc:subject/>
  <dc:title>ДЕКЛАРАЦИЯ ЗА ПОЛЗВАНЕ НА СКЛАДОВА БАЗА</dc:title>
</cp:coreProperties>
</file>